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5D4DCA" w14:textId="1BAC1399" w:rsidR="008222A1" w:rsidRPr="008403C5" w:rsidRDefault="008222A1" w:rsidP="004062B4">
      <w:pPr>
        <w:ind w:left="284" w:right="-1" w:hanging="284"/>
        <w:jc w:val="center"/>
        <w:rPr>
          <w:rFonts w:ascii="Times New Roman" w:hAnsi="Times New Roman" w:cs="Times New Roman"/>
          <w:b/>
          <w:bCs/>
        </w:rPr>
      </w:pPr>
      <w:r w:rsidRPr="008403C5">
        <w:rPr>
          <w:rFonts w:ascii="Times New Roman" w:hAnsi="Times New Roman" w:cs="Times New Roman"/>
          <w:b/>
          <w:bCs/>
        </w:rPr>
        <w:t>TERMO DE REFERÊNCIA</w:t>
      </w:r>
    </w:p>
    <w:p w14:paraId="59FA8DEA" w14:textId="77777777" w:rsidR="004E5F1A" w:rsidRPr="008403C5" w:rsidRDefault="004E5F1A" w:rsidP="004E5F1A">
      <w:pPr>
        <w:jc w:val="center"/>
        <w:rPr>
          <w:rFonts w:ascii="Times New Roman" w:hAnsi="Times New Roman" w:cs="Times New Roman"/>
          <w:b/>
          <w:bCs/>
        </w:rPr>
      </w:pPr>
      <w:bookmarkStart w:id="0" w:name="_Hlk223008127"/>
      <w:r w:rsidRPr="008403C5">
        <w:rPr>
          <w:rFonts w:ascii="Times New Roman" w:hAnsi="Times New Roman" w:cs="Times New Roman"/>
          <w:b/>
          <w:bCs/>
        </w:rPr>
        <w:t>RECAPEAMENTO ASFÁLTICO NOS BAIRROS PARREIRA E PAULILÂNDIA</w:t>
      </w:r>
    </w:p>
    <w:bookmarkEnd w:id="0"/>
    <w:p w14:paraId="0FCADA34" w14:textId="77777777" w:rsidR="003E66BE" w:rsidRPr="008403C5" w:rsidRDefault="003E66BE" w:rsidP="004062B4">
      <w:pPr>
        <w:spacing w:beforeLines="200" w:before="480" w:afterLines="200" w:after="480"/>
        <w:ind w:left="284" w:hanging="284"/>
        <w:jc w:val="center"/>
        <w:rPr>
          <w:rFonts w:ascii="Times New Roman" w:eastAsia="Times New Roman" w:hAnsi="Times New Roman" w:cs="Times New Roman"/>
          <w:lang w:eastAsia="pt-BR"/>
        </w:rPr>
      </w:pPr>
    </w:p>
    <w:p w14:paraId="311ED9F9" w14:textId="099B8366" w:rsidR="008222A1" w:rsidRPr="008403C5" w:rsidRDefault="008222A1" w:rsidP="004062B4">
      <w:pPr>
        <w:ind w:left="284" w:right="-1" w:hanging="284"/>
        <w:rPr>
          <w:rFonts w:ascii="Times New Roman" w:hAnsi="Times New Roman" w:cs="Times New Roman"/>
          <w:b/>
          <w:bCs/>
        </w:rPr>
      </w:pPr>
      <w:r w:rsidRPr="008403C5">
        <w:rPr>
          <w:rFonts w:ascii="Times New Roman" w:hAnsi="Times New Roman" w:cs="Times New Roman"/>
          <w:b/>
          <w:bCs/>
        </w:rPr>
        <w:t>1.</w:t>
      </w:r>
      <w:r w:rsidRPr="008403C5">
        <w:rPr>
          <w:rFonts w:ascii="Times New Roman" w:hAnsi="Times New Roman" w:cs="Times New Roman"/>
          <w:b/>
          <w:bCs/>
        </w:rPr>
        <w:tab/>
        <w:t>CONDIÇÕES GERAIS DA CONTRATAÇÃO</w:t>
      </w:r>
    </w:p>
    <w:p w14:paraId="2B9C280F" w14:textId="58D26353" w:rsidR="008222A1" w:rsidRPr="008403C5" w:rsidRDefault="008222A1" w:rsidP="00E220C4">
      <w:pPr>
        <w:ind w:left="284" w:hanging="284"/>
        <w:rPr>
          <w:rFonts w:ascii="Times New Roman" w:hAnsi="Times New Roman" w:cs="Times New Roman"/>
        </w:rPr>
      </w:pPr>
      <w:r w:rsidRPr="008403C5">
        <w:rPr>
          <w:rFonts w:ascii="Times New Roman" w:hAnsi="Times New Roman" w:cs="Times New Roman"/>
        </w:rPr>
        <w:t>1.1.</w:t>
      </w:r>
      <w:r w:rsidRPr="008403C5">
        <w:rPr>
          <w:rFonts w:ascii="Times New Roman" w:hAnsi="Times New Roman" w:cs="Times New Roman"/>
        </w:rPr>
        <w:tab/>
      </w:r>
      <w:r w:rsidR="004E5F1A" w:rsidRPr="008403C5">
        <w:rPr>
          <w:rFonts w:ascii="Times New Roman" w:hAnsi="Times New Roman" w:cs="Times New Roman"/>
        </w:rPr>
        <w:t>Contratação de empresa especializada em serviço de engenharia para a execução da obra denominada “Recapeamento Asfáltico nos Bairros Parreira e Paulilândia, no município de Santa Helena de Goiás – GO, conforme Contrato de Repasse MCIDADES 976218/2025, Operação 1101090-73”</w:t>
      </w:r>
      <w:r w:rsidRPr="008403C5">
        <w:rPr>
          <w:rFonts w:ascii="Times New Roman" w:hAnsi="Times New Roman" w:cs="Times New Roman"/>
        </w:rPr>
        <w:t>, nos termos da tabela abaixo,</w:t>
      </w:r>
      <w:r w:rsidR="004E5F1A" w:rsidRPr="008403C5">
        <w:rPr>
          <w:rFonts w:ascii="Times New Roman" w:hAnsi="Times New Roman" w:cs="Times New Roman"/>
        </w:rPr>
        <w:t xml:space="preserve"> de acordo com as</w:t>
      </w:r>
      <w:r w:rsidRPr="008403C5">
        <w:rPr>
          <w:rFonts w:ascii="Times New Roman" w:hAnsi="Times New Roman" w:cs="Times New Roman"/>
        </w:rPr>
        <w:t xml:space="preserve"> condições e exigências estabelecidas neste instrumento.</w:t>
      </w:r>
    </w:p>
    <w:tbl>
      <w:tblPr>
        <w:tblW w:w="9239" w:type="dxa"/>
        <w:tblCellMar>
          <w:left w:w="70" w:type="dxa"/>
          <w:right w:w="70" w:type="dxa"/>
        </w:tblCellMar>
        <w:tblLook w:val="04A0" w:firstRow="1" w:lastRow="0" w:firstColumn="1" w:lastColumn="0" w:noHBand="0" w:noVBand="1"/>
      </w:tblPr>
      <w:tblGrid>
        <w:gridCol w:w="591"/>
        <w:gridCol w:w="1141"/>
        <w:gridCol w:w="760"/>
        <w:gridCol w:w="2392"/>
        <w:gridCol w:w="851"/>
        <w:gridCol w:w="1131"/>
        <w:gridCol w:w="1106"/>
        <w:gridCol w:w="1121"/>
        <w:gridCol w:w="146"/>
      </w:tblGrid>
      <w:tr w:rsidR="00E220C4" w:rsidRPr="008403C5" w14:paraId="5054C113" w14:textId="77777777" w:rsidTr="00D80563">
        <w:trPr>
          <w:gridAfter w:val="1"/>
          <w:wAfter w:w="146" w:type="dxa"/>
          <w:trHeight w:val="433"/>
        </w:trPr>
        <w:tc>
          <w:tcPr>
            <w:tcW w:w="5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4299E0"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Item</w:t>
            </w:r>
          </w:p>
        </w:tc>
        <w:tc>
          <w:tcPr>
            <w:tcW w:w="11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160DB3"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Fonte</w:t>
            </w:r>
          </w:p>
        </w:tc>
        <w:tc>
          <w:tcPr>
            <w:tcW w:w="7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187860"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Código</w:t>
            </w:r>
          </w:p>
        </w:tc>
        <w:tc>
          <w:tcPr>
            <w:tcW w:w="23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CEC761"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Descrição</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C3992C"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Unidade</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D80B04"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Quantidade</w:t>
            </w:r>
          </w:p>
        </w:tc>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2B9715"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Preço Unitário (com BDI) (R$)</w:t>
            </w:r>
          </w:p>
        </w:tc>
        <w:tc>
          <w:tcPr>
            <w:tcW w:w="112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64FD96B"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Preço Total (R$)</w:t>
            </w:r>
          </w:p>
        </w:tc>
      </w:tr>
      <w:tr w:rsidR="00E220C4" w:rsidRPr="008403C5" w14:paraId="06FB9C69" w14:textId="77777777" w:rsidTr="00D80563">
        <w:trPr>
          <w:trHeight w:val="300"/>
        </w:trPr>
        <w:tc>
          <w:tcPr>
            <w:tcW w:w="591" w:type="dxa"/>
            <w:vMerge/>
            <w:tcBorders>
              <w:top w:val="single" w:sz="4" w:space="0" w:color="auto"/>
              <w:left w:val="single" w:sz="4" w:space="0" w:color="auto"/>
              <w:bottom w:val="single" w:sz="4" w:space="0" w:color="auto"/>
              <w:right w:val="single" w:sz="4" w:space="0" w:color="auto"/>
            </w:tcBorders>
            <w:vAlign w:val="center"/>
            <w:hideMark/>
          </w:tcPr>
          <w:p w14:paraId="5E7FE29F"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b/>
                <w:bCs/>
                <w:color w:val="000000"/>
                <w:kern w:val="0"/>
                <w:sz w:val="18"/>
                <w:szCs w:val="18"/>
                <w:lang w:eastAsia="pt-BR"/>
                <w14:ligatures w14:val="none"/>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6B25DD1A"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b/>
                <w:bCs/>
                <w:color w:val="000000"/>
                <w:kern w:val="0"/>
                <w:sz w:val="18"/>
                <w:szCs w:val="18"/>
                <w:lang w:eastAsia="pt-BR"/>
                <w14:ligatures w14:val="none"/>
              </w:rPr>
            </w:pPr>
          </w:p>
        </w:tc>
        <w:tc>
          <w:tcPr>
            <w:tcW w:w="760" w:type="dxa"/>
            <w:vMerge/>
            <w:tcBorders>
              <w:top w:val="single" w:sz="4" w:space="0" w:color="auto"/>
              <w:left w:val="single" w:sz="4" w:space="0" w:color="auto"/>
              <w:bottom w:val="single" w:sz="4" w:space="0" w:color="auto"/>
              <w:right w:val="single" w:sz="4" w:space="0" w:color="auto"/>
            </w:tcBorders>
            <w:vAlign w:val="center"/>
            <w:hideMark/>
          </w:tcPr>
          <w:p w14:paraId="26A02B81"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b/>
                <w:bCs/>
                <w:color w:val="000000"/>
                <w:kern w:val="0"/>
                <w:sz w:val="18"/>
                <w:szCs w:val="18"/>
                <w:lang w:eastAsia="pt-BR"/>
                <w14:ligatures w14:val="none"/>
              </w:rPr>
            </w:pPr>
          </w:p>
        </w:tc>
        <w:tc>
          <w:tcPr>
            <w:tcW w:w="2392" w:type="dxa"/>
            <w:vMerge/>
            <w:tcBorders>
              <w:top w:val="single" w:sz="4" w:space="0" w:color="auto"/>
              <w:left w:val="single" w:sz="4" w:space="0" w:color="auto"/>
              <w:bottom w:val="single" w:sz="4" w:space="0" w:color="auto"/>
              <w:right w:val="single" w:sz="4" w:space="0" w:color="auto"/>
            </w:tcBorders>
            <w:vAlign w:val="center"/>
            <w:hideMark/>
          </w:tcPr>
          <w:p w14:paraId="69B1AD7B"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b/>
                <w:bCs/>
                <w:color w:val="000000"/>
                <w:kern w:val="0"/>
                <w:sz w:val="18"/>
                <w:szCs w:val="18"/>
                <w:lang w:eastAsia="pt-BR"/>
                <w14:ligatures w14:val="none"/>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60593BAC"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b/>
                <w:bCs/>
                <w:color w:val="000000"/>
                <w:kern w:val="0"/>
                <w:sz w:val="18"/>
                <w:szCs w:val="18"/>
                <w:lang w:eastAsia="pt-BR"/>
                <w14:ligatures w14:val="none"/>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14:paraId="5A531637"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b/>
                <w:bCs/>
                <w:color w:val="000000"/>
                <w:kern w:val="0"/>
                <w:sz w:val="18"/>
                <w:szCs w:val="18"/>
                <w:lang w:eastAsia="pt-BR"/>
                <w14:ligatures w14:val="none"/>
              </w:rPr>
            </w:pP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408828ED"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b/>
                <w:bCs/>
                <w:color w:val="000000"/>
                <w:kern w:val="0"/>
                <w:sz w:val="18"/>
                <w:szCs w:val="18"/>
                <w:lang w:eastAsia="pt-BR"/>
                <w14:ligatures w14:val="none"/>
              </w:rPr>
            </w:pPr>
          </w:p>
        </w:tc>
        <w:tc>
          <w:tcPr>
            <w:tcW w:w="1121" w:type="dxa"/>
            <w:vMerge/>
            <w:tcBorders>
              <w:top w:val="single" w:sz="4" w:space="0" w:color="auto"/>
              <w:left w:val="single" w:sz="4" w:space="0" w:color="auto"/>
              <w:bottom w:val="single" w:sz="4" w:space="0" w:color="000000"/>
              <w:right w:val="single" w:sz="4" w:space="0" w:color="auto"/>
            </w:tcBorders>
            <w:vAlign w:val="center"/>
            <w:hideMark/>
          </w:tcPr>
          <w:p w14:paraId="4296E9FC"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b/>
                <w:bCs/>
                <w:color w:val="000000"/>
                <w:kern w:val="0"/>
                <w:sz w:val="18"/>
                <w:szCs w:val="18"/>
                <w:lang w:eastAsia="pt-BR"/>
                <w14:ligatures w14:val="none"/>
              </w:rPr>
            </w:pPr>
          </w:p>
        </w:tc>
        <w:tc>
          <w:tcPr>
            <w:tcW w:w="146" w:type="dxa"/>
            <w:tcBorders>
              <w:top w:val="nil"/>
              <w:left w:val="nil"/>
              <w:bottom w:val="nil"/>
              <w:right w:val="nil"/>
            </w:tcBorders>
            <w:shd w:val="clear" w:color="auto" w:fill="auto"/>
            <w:noWrap/>
            <w:vAlign w:val="bottom"/>
            <w:hideMark/>
          </w:tcPr>
          <w:p w14:paraId="329B32E0"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p>
        </w:tc>
      </w:tr>
      <w:tr w:rsidR="00E220C4" w:rsidRPr="008403C5" w14:paraId="77109846" w14:textId="77777777" w:rsidTr="00D80563">
        <w:trPr>
          <w:trHeight w:val="300"/>
        </w:trPr>
        <w:tc>
          <w:tcPr>
            <w:tcW w:w="591" w:type="dxa"/>
            <w:tcBorders>
              <w:top w:val="nil"/>
              <w:left w:val="single" w:sz="4" w:space="0" w:color="auto"/>
              <w:bottom w:val="single" w:sz="4" w:space="0" w:color="auto"/>
              <w:right w:val="single" w:sz="4" w:space="0" w:color="auto"/>
            </w:tcBorders>
            <w:shd w:val="clear" w:color="000000" w:fill="BFBFBF"/>
            <w:vAlign w:val="center"/>
            <w:hideMark/>
          </w:tcPr>
          <w:p w14:paraId="7DAC243C"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1.</w:t>
            </w:r>
          </w:p>
        </w:tc>
        <w:tc>
          <w:tcPr>
            <w:tcW w:w="1141" w:type="dxa"/>
            <w:tcBorders>
              <w:top w:val="nil"/>
              <w:left w:val="nil"/>
              <w:bottom w:val="single" w:sz="4" w:space="0" w:color="auto"/>
              <w:right w:val="single" w:sz="4" w:space="0" w:color="auto"/>
            </w:tcBorders>
            <w:shd w:val="clear" w:color="000000" w:fill="BFBFBF"/>
            <w:vAlign w:val="center"/>
            <w:hideMark/>
          </w:tcPr>
          <w:p w14:paraId="4FF7058F"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760" w:type="dxa"/>
            <w:tcBorders>
              <w:top w:val="nil"/>
              <w:left w:val="nil"/>
              <w:bottom w:val="single" w:sz="4" w:space="0" w:color="auto"/>
              <w:right w:val="single" w:sz="4" w:space="0" w:color="auto"/>
            </w:tcBorders>
            <w:shd w:val="clear" w:color="000000" w:fill="BFBFBF"/>
            <w:vAlign w:val="center"/>
            <w:hideMark/>
          </w:tcPr>
          <w:p w14:paraId="529D3137"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2392" w:type="dxa"/>
            <w:tcBorders>
              <w:top w:val="nil"/>
              <w:left w:val="nil"/>
              <w:bottom w:val="single" w:sz="4" w:space="0" w:color="auto"/>
              <w:right w:val="single" w:sz="4" w:space="0" w:color="auto"/>
            </w:tcBorders>
            <w:shd w:val="clear" w:color="000000" w:fill="BFBFBF"/>
            <w:vAlign w:val="bottom"/>
            <w:hideMark/>
          </w:tcPr>
          <w:p w14:paraId="7375E4E4"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RECAPEAMENTO ASFÁLTICO</w:t>
            </w:r>
          </w:p>
        </w:tc>
        <w:tc>
          <w:tcPr>
            <w:tcW w:w="851" w:type="dxa"/>
            <w:tcBorders>
              <w:top w:val="nil"/>
              <w:left w:val="nil"/>
              <w:bottom w:val="single" w:sz="4" w:space="0" w:color="auto"/>
              <w:right w:val="single" w:sz="4" w:space="0" w:color="auto"/>
            </w:tcBorders>
            <w:shd w:val="clear" w:color="000000" w:fill="BFBFBF"/>
            <w:vAlign w:val="center"/>
            <w:hideMark/>
          </w:tcPr>
          <w:p w14:paraId="0CDAFDD6"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1131" w:type="dxa"/>
            <w:tcBorders>
              <w:top w:val="nil"/>
              <w:left w:val="nil"/>
              <w:bottom w:val="single" w:sz="4" w:space="0" w:color="auto"/>
              <w:right w:val="single" w:sz="4" w:space="0" w:color="auto"/>
            </w:tcBorders>
            <w:shd w:val="clear" w:color="000000" w:fill="BFBFBF"/>
            <w:vAlign w:val="center"/>
            <w:hideMark/>
          </w:tcPr>
          <w:p w14:paraId="4848A9B9"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1106" w:type="dxa"/>
            <w:tcBorders>
              <w:top w:val="nil"/>
              <w:left w:val="nil"/>
              <w:bottom w:val="single" w:sz="4" w:space="0" w:color="auto"/>
              <w:right w:val="single" w:sz="4" w:space="0" w:color="auto"/>
            </w:tcBorders>
            <w:shd w:val="clear" w:color="000000" w:fill="BFBFBF"/>
            <w:vAlign w:val="center"/>
            <w:hideMark/>
          </w:tcPr>
          <w:p w14:paraId="26A3F3C7"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1121" w:type="dxa"/>
            <w:tcBorders>
              <w:top w:val="nil"/>
              <w:left w:val="nil"/>
              <w:bottom w:val="single" w:sz="4" w:space="0" w:color="auto"/>
              <w:right w:val="single" w:sz="4" w:space="0" w:color="auto"/>
            </w:tcBorders>
            <w:shd w:val="clear" w:color="000000" w:fill="BFBFBF"/>
            <w:vAlign w:val="center"/>
            <w:hideMark/>
          </w:tcPr>
          <w:p w14:paraId="7ACBDD66"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746.673,72</w:t>
            </w:r>
          </w:p>
        </w:tc>
        <w:tc>
          <w:tcPr>
            <w:tcW w:w="146" w:type="dxa"/>
            <w:vAlign w:val="center"/>
            <w:hideMark/>
          </w:tcPr>
          <w:p w14:paraId="79F99686"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r w:rsidR="00E220C4" w:rsidRPr="008403C5" w14:paraId="74B5CA3F" w14:textId="77777777" w:rsidTr="00D80563">
        <w:trPr>
          <w:trHeight w:val="300"/>
        </w:trPr>
        <w:tc>
          <w:tcPr>
            <w:tcW w:w="591" w:type="dxa"/>
            <w:tcBorders>
              <w:top w:val="nil"/>
              <w:left w:val="single" w:sz="4" w:space="0" w:color="auto"/>
              <w:bottom w:val="single" w:sz="4" w:space="0" w:color="auto"/>
              <w:right w:val="single" w:sz="4" w:space="0" w:color="auto"/>
            </w:tcBorders>
            <w:shd w:val="clear" w:color="000000" w:fill="D9D9D9"/>
            <w:vAlign w:val="center"/>
            <w:hideMark/>
          </w:tcPr>
          <w:p w14:paraId="52AEB089"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1.1.</w:t>
            </w:r>
          </w:p>
        </w:tc>
        <w:tc>
          <w:tcPr>
            <w:tcW w:w="1141" w:type="dxa"/>
            <w:tcBorders>
              <w:top w:val="nil"/>
              <w:left w:val="nil"/>
              <w:bottom w:val="single" w:sz="4" w:space="0" w:color="auto"/>
              <w:right w:val="single" w:sz="4" w:space="0" w:color="auto"/>
            </w:tcBorders>
            <w:shd w:val="clear" w:color="000000" w:fill="D9D9D9"/>
            <w:vAlign w:val="center"/>
            <w:hideMark/>
          </w:tcPr>
          <w:p w14:paraId="12B76265"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760" w:type="dxa"/>
            <w:tcBorders>
              <w:top w:val="nil"/>
              <w:left w:val="nil"/>
              <w:bottom w:val="single" w:sz="4" w:space="0" w:color="auto"/>
              <w:right w:val="single" w:sz="4" w:space="0" w:color="auto"/>
            </w:tcBorders>
            <w:shd w:val="clear" w:color="000000" w:fill="D9D9D9"/>
            <w:vAlign w:val="center"/>
            <w:hideMark/>
          </w:tcPr>
          <w:p w14:paraId="20468261"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2392" w:type="dxa"/>
            <w:tcBorders>
              <w:top w:val="nil"/>
              <w:left w:val="nil"/>
              <w:bottom w:val="single" w:sz="4" w:space="0" w:color="auto"/>
              <w:right w:val="single" w:sz="4" w:space="0" w:color="auto"/>
            </w:tcBorders>
            <w:shd w:val="clear" w:color="000000" w:fill="D9D9D9"/>
            <w:vAlign w:val="bottom"/>
            <w:hideMark/>
          </w:tcPr>
          <w:p w14:paraId="4C0473DE"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ADMINISTRAÇÃO LOCAL</w:t>
            </w:r>
          </w:p>
        </w:tc>
        <w:tc>
          <w:tcPr>
            <w:tcW w:w="851" w:type="dxa"/>
            <w:tcBorders>
              <w:top w:val="nil"/>
              <w:left w:val="nil"/>
              <w:bottom w:val="single" w:sz="4" w:space="0" w:color="auto"/>
              <w:right w:val="single" w:sz="4" w:space="0" w:color="auto"/>
            </w:tcBorders>
            <w:shd w:val="clear" w:color="000000" w:fill="D9D9D9"/>
            <w:vAlign w:val="center"/>
            <w:hideMark/>
          </w:tcPr>
          <w:p w14:paraId="61DDE111"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1131" w:type="dxa"/>
            <w:tcBorders>
              <w:top w:val="nil"/>
              <w:left w:val="nil"/>
              <w:bottom w:val="single" w:sz="4" w:space="0" w:color="auto"/>
              <w:right w:val="single" w:sz="4" w:space="0" w:color="auto"/>
            </w:tcBorders>
            <w:shd w:val="clear" w:color="000000" w:fill="D9D9D9"/>
            <w:vAlign w:val="center"/>
            <w:hideMark/>
          </w:tcPr>
          <w:p w14:paraId="181025B7"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1106" w:type="dxa"/>
            <w:tcBorders>
              <w:top w:val="nil"/>
              <w:left w:val="nil"/>
              <w:bottom w:val="single" w:sz="4" w:space="0" w:color="auto"/>
              <w:right w:val="single" w:sz="4" w:space="0" w:color="auto"/>
            </w:tcBorders>
            <w:shd w:val="clear" w:color="000000" w:fill="D9D9D9"/>
            <w:vAlign w:val="center"/>
            <w:hideMark/>
          </w:tcPr>
          <w:p w14:paraId="3E839D78"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1121" w:type="dxa"/>
            <w:tcBorders>
              <w:top w:val="nil"/>
              <w:left w:val="nil"/>
              <w:bottom w:val="single" w:sz="4" w:space="0" w:color="auto"/>
              <w:right w:val="single" w:sz="4" w:space="0" w:color="auto"/>
            </w:tcBorders>
            <w:shd w:val="clear" w:color="000000" w:fill="D9D9D9"/>
            <w:vAlign w:val="center"/>
            <w:hideMark/>
          </w:tcPr>
          <w:p w14:paraId="5A3CE314"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15.427,67</w:t>
            </w:r>
          </w:p>
        </w:tc>
        <w:tc>
          <w:tcPr>
            <w:tcW w:w="146" w:type="dxa"/>
            <w:vAlign w:val="center"/>
            <w:hideMark/>
          </w:tcPr>
          <w:p w14:paraId="6CE051FA"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r w:rsidR="00E220C4" w:rsidRPr="008403C5" w14:paraId="7B54CE31" w14:textId="77777777" w:rsidTr="00D80563">
        <w:trPr>
          <w:trHeight w:val="300"/>
        </w:trPr>
        <w:tc>
          <w:tcPr>
            <w:tcW w:w="591" w:type="dxa"/>
            <w:tcBorders>
              <w:top w:val="nil"/>
              <w:left w:val="single" w:sz="4" w:space="0" w:color="auto"/>
              <w:bottom w:val="single" w:sz="4" w:space="0" w:color="auto"/>
              <w:right w:val="single" w:sz="4" w:space="0" w:color="auto"/>
            </w:tcBorders>
            <w:shd w:val="clear" w:color="auto" w:fill="auto"/>
            <w:vAlign w:val="center"/>
            <w:hideMark/>
          </w:tcPr>
          <w:p w14:paraId="7D1CB869"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1.1.1.</w:t>
            </w:r>
          </w:p>
        </w:tc>
        <w:tc>
          <w:tcPr>
            <w:tcW w:w="1141" w:type="dxa"/>
            <w:tcBorders>
              <w:top w:val="nil"/>
              <w:left w:val="nil"/>
              <w:bottom w:val="single" w:sz="4" w:space="0" w:color="auto"/>
              <w:right w:val="single" w:sz="4" w:space="0" w:color="auto"/>
            </w:tcBorders>
            <w:shd w:val="clear" w:color="auto" w:fill="auto"/>
            <w:vAlign w:val="center"/>
            <w:hideMark/>
          </w:tcPr>
          <w:p w14:paraId="51DB9924"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Composição</w:t>
            </w:r>
          </w:p>
        </w:tc>
        <w:tc>
          <w:tcPr>
            <w:tcW w:w="760" w:type="dxa"/>
            <w:tcBorders>
              <w:top w:val="nil"/>
              <w:left w:val="nil"/>
              <w:bottom w:val="single" w:sz="4" w:space="0" w:color="auto"/>
              <w:right w:val="single" w:sz="4" w:space="0" w:color="auto"/>
            </w:tcBorders>
            <w:shd w:val="clear" w:color="auto" w:fill="auto"/>
            <w:vAlign w:val="center"/>
            <w:hideMark/>
          </w:tcPr>
          <w:p w14:paraId="708EE3CD"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001</w:t>
            </w:r>
          </w:p>
        </w:tc>
        <w:tc>
          <w:tcPr>
            <w:tcW w:w="2392" w:type="dxa"/>
            <w:tcBorders>
              <w:top w:val="nil"/>
              <w:left w:val="nil"/>
              <w:bottom w:val="single" w:sz="4" w:space="0" w:color="auto"/>
              <w:right w:val="single" w:sz="4" w:space="0" w:color="auto"/>
            </w:tcBorders>
            <w:shd w:val="clear" w:color="auto" w:fill="auto"/>
            <w:vAlign w:val="bottom"/>
            <w:hideMark/>
          </w:tcPr>
          <w:p w14:paraId="34C614A0"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ADMINISTRAÇÃO LOCAL</w:t>
            </w:r>
          </w:p>
        </w:tc>
        <w:tc>
          <w:tcPr>
            <w:tcW w:w="851" w:type="dxa"/>
            <w:tcBorders>
              <w:top w:val="nil"/>
              <w:left w:val="nil"/>
              <w:bottom w:val="single" w:sz="4" w:space="0" w:color="auto"/>
              <w:right w:val="single" w:sz="4" w:space="0" w:color="auto"/>
            </w:tcBorders>
            <w:shd w:val="clear" w:color="auto" w:fill="auto"/>
            <w:vAlign w:val="center"/>
            <w:hideMark/>
          </w:tcPr>
          <w:p w14:paraId="2E12205B"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 xml:space="preserve">UND </w:t>
            </w:r>
          </w:p>
        </w:tc>
        <w:tc>
          <w:tcPr>
            <w:tcW w:w="1131" w:type="dxa"/>
            <w:tcBorders>
              <w:top w:val="nil"/>
              <w:left w:val="nil"/>
              <w:bottom w:val="single" w:sz="4" w:space="0" w:color="auto"/>
              <w:right w:val="single" w:sz="4" w:space="0" w:color="auto"/>
            </w:tcBorders>
            <w:shd w:val="clear" w:color="auto" w:fill="auto"/>
            <w:vAlign w:val="center"/>
            <w:hideMark/>
          </w:tcPr>
          <w:p w14:paraId="087021EC"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1,00</w:t>
            </w:r>
          </w:p>
        </w:tc>
        <w:tc>
          <w:tcPr>
            <w:tcW w:w="1106" w:type="dxa"/>
            <w:tcBorders>
              <w:top w:val="nil"/>
              <w:left w:val="nil"/>
              <w:bottom w:val="single" w:sz="4" w:space="0" w:color="auto"/>
              <w:right w:val="single" w:sz="4" w:space="0" w:color="auto"/>
            </w:tcBorders>
            <w:shd w:val="clear" w:color="auto" w:fill="auto"/>
            <w:vAlign w:val="center"/>
            <w:hideMark/>
          </w:tcPr>
          <w:p w14:paraId="50D20C90"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15.427,67</w:t>
            </w:r>
          </w:p>
        </w:tc>
        <w:tc>
          <w:tcPr>
            <w:tcW w:w="1121" w:type="dxa"/>
            <w:tcBorders>
              <w:top w:val="nil"/>
              <w:left w:val="nil"/>
              <w:bottom w:val="single" w:sz="4" w:space="0" w:color="auto"/>
              <w:right w:val="single" w:sz="4" w:space="0" w:color="auto"/>
            </w:tcBorders>
            <w:shd w:val="clear" w:color="auto" w:fill="auto"/>
            <w:vAlign w:val="center"/>
            <w:hideMark/>
          </w:tcPr>
          <w:p w14:paraId="2538C223"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15.427,67</w:t>
            </w:r>
          </w:p>
        </w:tc>
        <w:tc>
          <w:tcPr>
            <w:tcW w:w="146" w:type="dxa"/>
            <w:vAlign w:val="center"/>
            <w:hideMark/>
          </w:tcPr>
          <w:p w14:paraId="0D7C79AE"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r w:rsidR="00E220C4" w:rsidRPr="008403C5" w14:paraId="5703C943" w14:textId="77777777" w:rsidTr="00D80563">
        <w:trPr>
          <w:trHeight w:val="300"/>
        </w:trPr>
        <w:tc>
          <w:tcPr>
            <w:tcW w:w="591" w:type="dxa"/>
            <w:tcBorders>
              <w:top w:val="nil"/>
              <w:left w:val="single" w:sz="4" w:space="0" w:color="auto"/>
              <w:bottom w:val="single" w:sz="4" w:space="0" w:color="auto"/>
              <w:right w:val="single" w:sz="4" w:space="0" w:color="auto"/>
            </w:tcBorders>
            <w:shd w:val="clear" w:color="000000" w:fill="D9D9D9"/>
            <w:vAlign w:val="center"/>
            <w:hideMark/>
          </w:tcPr>
          <w:p w14:paraId="7F7720AA"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1.2.</w:t>
            </w:r>
          </w:p>
        </w:tc>
        <w:tc>
          <w:tcPr>
            <w:tcW w:w="1141" w:type="dxa"/>
            <w:tcBorders>
              <w:top w:val="nil"/>
              <w:left w:val="nil"/>
              <w:bottom w:val="single" w:sz="4" w:space="0" w:color="auto"/>
              <w:right w:val="single" w:sz="4" w:space="0" w:color="auto"/>
            </w:tcBorders>
            <w:shd w:val="clear" w:color="000000" w:fill="D9D9D9"/>
            <w:vAlign w:val="center"/>
            <w:hideMark/>
          </w:tcPr>
          <w:p w14:paraId="182D0522"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760" w:type="dxa"/>
            <w:tcBorders>
              <w:top w:val="nil"/>
              <w:left w:val="nil"/>
              <w:bottom w:val="single" w:sz="4" w:space="0" w:color="auto"/>
              <w:right w:val="single" w:sz="4" w:space="0" w:color="auto"/>
            </w:tcBorders>
            <w:shd w:val="clear" w:color="000000" w:fill="D9D9D9"/>
            <w:vAlign w:val="center"/>
            <w:hideMark/>
          </w:tcPr>
          <w:p w14:paraId="122AA812"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2392" w:type="dxa"/>
            <w:tcBorders>
              <w:top w:val="nil"/>
              <w:left w:val="nil"/>
              <w:bottom w:val="single" w:sz="4" w:space="0" w:color="auto"/>
              <w:right w:val="single" w:sz="4" w:space="0" w:color="auto"/>
            </w:tcBorders>
            <w:shd w:val="clear" w:color="000000" w:fill="D9D9D9"/>
            <w:vAlign w:val="bottom"/>
            <w:hideMark/>
          </w:tcPr>
          <w:p w14:paraId="097E6F4B"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SERVIÇOS PRELIMINARES</w:t>
            </w:r>
          </w:p>
        </w:tc>
        <w:tc>
          <w:tcPr>
            <w:tcW w:w="851" w:type="dxa"/>
            <w:tcBorders>
              <w:top w:val="nil"/>
              <w:left w:val="nil"/>
              <w:bottom w:val="single" w:sz="4" w:space="0" w:color="auto"/>
              <w:right w:val="single" w:sz="4" w:space="0" w:color="auto"/>
            </w:tcBorders>
            <w:shd w:val="clear" w:color="000000" w:fill="D9D9D9"/>
            <w:vAlign w:val="center"/>
            <w:hideMark/>
          </w:tcPr>
          <w:p w14:paraId="52803EED"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1131" w:type="dxa"/>
            <w:tcBorders>
              <w:top w:val="nil"/>
              <w:left w:val="nil"/>
              <w:bottom w:val="single" w:sz="4" w:space="0" w:color="auto"/>
              <w:right w:val="single" w:sz="4" w:space="0" w:color="auto"/>
            </w:tcBorders>
            <w:shd w:val="clear" w:color="000000" w:fill="D9D9D9"/>
            <w:vAlign w:val="center"/>
            <w:hideMark/>
          </w:tcPr>
          <w:p w14:paraId="1CFAEA28"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1106" w:type="dxa"/>
            <w:tcBorders>
              <w:top w:val="nil"/>
              <w:left w:val="nil"/>
              <w:bottom w:val="single" w:sz="4" w:space="0" w:color="auto"/>
              <w:right w:val="single" w:sz="4" w:space="0" w:color="auto"/>
            </w:tcBorders>
            <w:shd w:val="clear" w:color="000000" w:fill="D9D9D9"/>
            <w:vAlign w:val="center"/>
            <w:hideMark/>
          </w:tcPr>
          <w:p w14:paraId="60F5D520"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1121" w:type="dxa"/>
            <w:tcBorders>
              <w:top w:val="nil"/>
              <w:left w:val="nil"/>
              <w:bottom w:val="single" w:sz="4" w:space="0" w:color="auto"/>
              <w:right w:val="single" w:sz="4" w:space="0" w:color="auto"/>
            </w:tcBorders>
            <w:shd w:val="clear" w:color="000000" w:fill="D9D9D9"/>
            <w:vAlign w:val="center"/>
            <w:hideMark/>
          </w:tcPr>
          <w:p w14:paraId="51FE093C"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7.296,02</w:t>
            </w:r>
          </w:p>
        </w:tc>
        <w:tc>
          <w:tcPr>
            <w:tcW w:w="146" w:type="dxa"/>
            <w:vAlign w:val="center"/>
            <w:hideMark/>
          </w:tcPr>
          <w:p w14:paraId="19B5301F"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r w:rsidR="00E220C4" w:rsidRPr="008403C5" w14:paraId="7D70368D" w14:textId="77777777" w:rsidTr="00D80563">
        <w:trPr>
          <w:trHeight w:val="735"/>
        </w:trPr>
        <w:tc>
          <w:tcPr>
            <w:tcW w:w="591" w:type="dxa"/>
            <w:tcBorders>
              <w:top w:val="nil"/>
              <w:left w:val="single" w:sz="4" w:space="0" w:color="auto"/>
              <w:bottom w:val="single" w:sz="4" w:space="0" w:color="auto"/>
              <w:right w:val="single" w:sz="4" w:space="0" w:color="auto"/>
            </w:tcBorders>
            <w:shd w:val="clear" w:color="auto" w:fill="auto"/>
            <w:vAlign w:val="center"/>
            <w:hideMark/>
          </w:tcPr>
          <w:p w14:paraId="474CEB6D"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1.2.1.</w:t>
            </w:r>
          </w:p>
        </w:tc>
        <w:tc>
          <w:tcPr>
            <w:tcW w:w="1141" w:type="dxa"/>
            <w:tcBorders>
              <w:top w:val="nil"/>
              <w:left w:val="nil"/>
              <w:bottom w:val="single" w:sz="4" w:space="0" w:color="auto"/>
              <w:right w:val="single" w:sz="4" w:space="0" w:color="auto"/>
            </w:tcBorders>
            <w:shd w:val="clear" w:color="auto" w:fill="auto"/>
            <w:vAlign w:val="center"/>
            <w:hideMark/>
          </w:tcPr>
          <w:p w14:paraId="6CF09780"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SINAPI</w:t>
            </w:r>
          </w:p>
        </w:tc>
        <w:tc>
          <w:tcPr>
            <w:tcW w:w="760" w:type="dxa"/>
            <w:tcBorders>
              <w:top w:val="nil"/>
              <w:left w:val="nil"/>
              <w:bottom w:val="single" w:sz="4" w:space="0" w:color="auto"/>
              <w:right w:val="single" w:sz="4" w:space="0" w:color="auto"/>
            </w:tcBorders>
            <w:shd w:val="clear" w:color="auto" w:fill="auto"/>
            <w:vAlign w:val="center"/>
            <w:hideMark/>
          </w:tcPr>
          <w:p w14:paraId="64F100B6"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103689</w:t>
            </w:r>
          </w:p>
        </w:tc>
        <w:tc>
          <w:tcPr>
            <w:tcW w:w="2392" w:type="dxa"/>
            <w:tcBorders>
              <w:top w:val="nil"/>
              <w:left w:val="nil"/>
              <w:bottom w:val="single" w:sz="4" w:space="0" w:color="auto"/>
              <w:right w:val="single" w:sz="4" w:space="0" w:color="auto"/>
            </w:tcBorders>
            <w:shd w:val="clear" w:color="auto" w:fill="auto"/>
            <w:vAlign w:val="bottom"/>
            <w:hideMark/>
          </w:tcPr>
          <w:p w14:paraId="0CB51FA9"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FORNECIMENTO E INSTALAÇÃO DE PLACA DE OBRA COM CHAPA GALVANIZADA E ESTRUTURA DE MADEIRA. AF_03/2022_PS</w:t>
            </w:r>
          </w:p>
        </w:tc>
        <w:tc>
          <w:tcPr>
            <w:tcW w:w="851" w:type="dxa"/>
            <w:tcBorders>
              <w:top w:val="nil"/>
              <w:left w:val="nil"/>
              <w:bottom w:val="single" w:sz="4" w:space="0" w:color="auto"/>
              <w:right w:val="single" w:sz="4" w:space="0" w:color="auto"/>
            </w:tcBorders>
            <w:shd w:val="clear" w:color="auto" w:fill="auto"/>
            <w:vAlign w:val="center"/>
            <w:hideMark/>
          </w:tcPr>
          <w:p w14:paraId="1B8C4C32"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M2</w:t>
            </w:r>
          </w:p>
        </w:tc>
        <w:tc>
          <w:tcPr>
            <w:tcW w:w="1131" w:type="dxa"/>
            <w:tcBorders>
              <w:top w:val="nil"/>
              <w:left w:val="nil"/>
              <w:bottom w:val="single" w:sz="4" w:space="0" w:color="auto"/>
              <w:right w:val="single" w:sz="4" w:space="0" w:color="auto"/>
            </w:tcBorders>
            <w:shd w:val="clear" w:color="auto" w:fill="auto"/>
            <w:vAlign w:val="center"/>
            <w:hideMark/>
          </w:tcPr>
          <w:p w14:paraId="7053DDAC"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6,48</w:t>
            </w:r>
          </w:p>
        </w:tc>
        <w:tc>
          <w:tcPr>
            <w:tcW w:w="1106" w:type="dxa"/>
            <w:tcBorders>
              <w:top w:val="nil"/>
              <w:left w:val="nil"/>
              <w:bottom w:val="single" w:sz="4" w:space="0" w:color="auto"/>
              <w:right w:val="single" w:sz="4" w:space="0" w:color="auto"/>
            </w:tcBorders>
            <w:shd w:val="clear" w:color="auto" w:fill="auto"/>
            <w:vAlign w:val="center"/>
            <w:hideMark/>
          </w:tcPr>
          <w:p w14:paraId="5C6C0293"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559,60</w:t>
            </w:r>
          </w:p>
        </w:tc>
        <w:tc>
          <w:tcPr>
            <w:tcW w:w="1121" w:type="dxa"/>
            <w:tcBorders>
              <w:top w:val="nil"/>
              <w:left w:val="nil"/>
              <w:bottom w:val="single" w:sz="4" w:space="0" w:color="auto"/>
              <w:right w:val="single" w:sz="4" w:space="0" w:color="auto"/>
            </w:tcBorders>
            <w:shd w:val="clear" w:color="auto" w:fill="auto"/>
            <w:vAlign w:val="center"/>
            <w:hideMark/>
          </w:tcPr>
          <w:p w14:paraId="36AB9B3E"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3.626,21</w:t>
            </w:r>
          </w:p>
        </w:tc>
        <w:tc>
          <w:tcPr>
            <w:tcW w:w="146" w:type="dxa"/>
            <w:vAlign w:val="center"/>
            <w:hideMark/>
          </w:tcPr>
          <w:p w14:paraId="706F6B31"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r w:rsidR="00E220C4" w:rsidRPr="008403C5" w14:paraId="11C0F818" w14:textId="77777777" w:rsidTr="00D80563">
        <w:trPr>
          <w:trHeight w:val="300"/>
        </w:trPr>
        <w:tc>
          <w:tcPr>
            <w:tcW w:w="591" w:type="dxa"/>
            <w:tcBorders>
              <w:top w:val="nil"/>
              <w:left w:val="single" w:sz="4" w:space="0" w:color="auto"/>
              <w:bottom w:val="single" w:sz="4" w:space="0" w:color="auto"/>
              <w:right w:val="single" w:sz="4" w:space="0" w:color="auto"/>
            </w:tcBorders>
            <w:shd w:val="clear" w:color="auto" w:fill="auto"/>
            <w:vAlign w:val="center"/>
            <w:hideMark/>
          </w:tcPr>
          <w:p w14:paraId="54E9B3E3"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1.2.2.</w:t>
            </w:r>
          </w:p>
        </w:tc>
        <w:tc>
          <w:tcPr>
            <w:tcW w:w="1141" w:type="dxa"/>
            <w:tcBorders>
              <w:top w:val="nil"/>
              <w:left w:val="nil"/>
              <w:bottom w:val="single" w:sz="4" w:space="0" w:color="auto"/>
              <w:right w:val="single" w:sz="4" w:space="0" w:color="auto"/>
            </w:tcBorders>
            <w:shd w:val="clear" w:color="auto" w:fill="auto"/>
            <w:vAlign w:val="center"/>
            <w:hideMark/>
          </w:tcPr>
          <w:p w14:paraId="24A6DE43"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Composição</w:t>
            </w:r>
          </w:p>
        </w:tc>
        <w:tc>
          <w:tcPr>
            <w:tcW w:w="760" w:type="dxa"/>
            <w:tcBorders>
              <w:top w:val="nil"/>
              <w:left w:val="nil"/>
              <w:bottom w:val="single" w:sz="4" w:space="0" w:color="auto"/>
              <w:right w:val="single" w:sz="4" w:space="0" w:color="auto"/>
            </w:tcBorders>
            <w:shd w:val="clear" w:color="auto" w:fill="auto"/>
            <w:vAlign w:val="center"/>
            <w:hideMark/>
          </w:tcPr>
          <w:p w14:paraId="30A97F2A"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002</w:t>
            </w:r>
          </w:p>
        </w:tc>
        <w:tc>
          <w:tcPr>
            <w:tcW w:w="2392" w:type="dxa"/>
            <w:tcBorders>
              <w:top w:val="nil"/>
              <w:left w:val="nil"/>
              <w:bottom w:val="single" w:sz="4" w:space="0" w:color="auto"/>
              <w:right w:val="single" w:sz="4" w:space="0" w:color="auto"/>
            </w:tcBorders>
            <w:shd w:val="clear" w:color="auto" w:fill="auto"/>
            <w:vAlign w:val="bottom"/>
            <w:hideMark/>
          </w:tcPr>
          <w:p w14:paraId="71804B64"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MOBILIZAÇÃO</w:t>
            </w:r>
          </w:p>
        </w:tc>
        <w:tc>
          <w:tcPr>
            <w:tcW w:w="851" w:type="dxa"/>
            <w:tcBorders>
              <w:top w:val="nil"/>
              <w:left w:val="nil"/>
              <w:bottom w:val="single" w:sz="4" w:space="0" w:color="auto"/>
              <w:right w:val="single" w:sz="4" w:space="0" w:color="auto"/>
            </w:tcBorders>
            <w:shd w:val="clear" w:color="auto" w:fill="auto"/>
            <w:vAlign w:val="center"/>
            <w:hideMark/>
          </w:tcPr>
          <w:p w14:paraId="61D93310"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 xml:space="preserve">UND </w:t>
            </w:r>
          </w:p>
        </w:tc>
        <w:tc>
          <w:tcPr>
            <w:tcW w:w="1131" w:type="dxa"/>
            <w:tcBorders>
              <w:top w:val="nil"/>
              <w:left w:val="nil"/>
              <w:bottom w:val="single" w:sz="4" w:space="0" w:color="auto"/>
              <w:right w:val="single" w:sz="4" w:space="0" w:color="auto"/>
            </w:tcBorders>
            <w:shd w:val="clear" w:color="auto" w:fill="auto"/>
            <w:vAlign w:val="center"/>
            <w:hideMark/>
          </w:tcPr>
          <w:p w14:paraId="6488D0D7"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1,00</w:t>
            </w:r>
          </w:p>
        </w:tc>
        <w:tc>
          <w:tcPr>
            <w:tcW w:w="1106" w:type="dxa"/>
            <w:tcBorders>
              <w:top w:val="nil"/>
              <w:left w:val="nil"/>
              <w:bottom w:val="single" w:sz="4" w:space="0" w:color="auto"/>
              <w:right w:val="single" w:sz="4" w:space="0" w:color="auto"/>
            </w:tcBorders>
            <w:shd w:val="clear" w:color="auto" w:fill="auto"/>
            <w:vAlign w:val="center"/>
            <w:hideMark/>
          </w:tcPr>
          <w:p w14:paraId="6FC0B4C0"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3.669,81</w:t>
            </w:r>
          </w:p>
        </w:tc>
        <w:tc>
          <w:tcPr>
            <w:tcW w:w="1121" w:type="dxa"/>
            <w:tcBorders>
              <w:top w:val="nil"/>
              <w:left w:val="nil"/>
              <w:bottom w:val="single" w:sz="4" w:space="0" w:color="auto"/>
              <w:right w:val="single" w:sz="4" w:space="0" w:color="auto"/>
            </w:tcBorders>
            <w:shd w:val="clear" w:color="auto" w:fill="auto"/>
            <w:vAlign w:val="center"/>
            <w:hideMark/>
          </w:tcPr>
          <w:p w14:paraId="4EE31220"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3.669,81</w:t>
            </w:r>
          </w:p>
        </w:tc>
        <w:tc>
          <w:tcPr>
            <w:tcW w:w="146" w:type="dxa"/>
            <w:vAlign w:val="center"/>
            <w:hideMark/>
          </w:tcPr>
          <w:p w14:paraId="783B3083"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r w:rsidR="00E220C4" w:rsidRPr="008403C5" w14:paraId="107306FF" w14:textId="77777777" w:rsidTr="00D80563">
        <w:trPr>
          <w:trHeight w:val="300"/>
        </w:trPr>
        <w:tc>
          <w:tcPr>
            <w:tcW w:w="591" w:type="dxa"/>
            <w:tcBorders>
              <w:top w:val="nil"/>
              <w:left w:val="single" w:sz="4" w:space="0" w:color="auto"/>
              <w:bottom w:val="single" w:sz="4" w:space="0" w:color="auto"/>
              <w:right w:val="single" w:sz="4" w:space="0" w:color="auto"/>
            </w:tcBorders>
            <w:shd w:val="clear" w:color="000000" w:fill="D9D9D9"/>
            <w:vAlign w:val="center"/>
            <w:hideMark/>
          </w:tcPr>
          <w:p w14:paraId="32FA76C7"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1.3.</w:t>
            </w:r>
          </w:p>
        </w:tc>
        <w:tc>
          <w:tcPr>
            <w:tcW w:w="1141" w:type="dxa"/>
            <w:tcBorders>
              <w:top w:val="nil"/>
              <w:left w:val="nil"/>
              <w:bottom w:val="single" w:sz="4" w:space="0" w:color="auto"/>
              <w:right w:val="single" w:sz="4" w:space="0" w:color="auto"/>
            </w:tcBorders>
            <w:shd w:val="clear" w:color="000000" w:fill="D9D9D9"/>
            <w:vAlign w:val="center"/>
            <w:hideMark/>
          </w:tcPr>
          <w:p w14:paraId="4DAB83C3"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760" w:type="dxa"/>
            <w:tcBorders>
              <w:top w:val="nil"/>
              <w:left w:val="nil"/>
              <w:bottom w:val="single" w:sz="4" w:space="0" w:color="auto"/>
              <w:right w:val="single" w:sz="4" w:space="0" w:color="auto"/>
            </w:tcBorders>
            <w:shd w:val="clear" w:color="000000" w:fill="D9D9D9"/>
            <w:vAlign w:val="center"/>
            <w:hideMark/>
          </w:tcPr>
          <w:p w14:paraId="47EAB704"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2392" w:type="dxa"/>
            <w:tcBorders>
              <w:top w:val="nil"/>
              <w:left w:val="nil"/>
              <w:bottom w:val="single" w:sz="4" w:space="0" w:color="auto"/>
              <w:right w:val="single" w:sz="4" w:space="0" w:color="auto"/>
            </w:tcBorders>
            <w:shd w:val="clear" w:color="000000" w:fill="D9D9D9"/>
            <w:vAlign w:val="bottom"/>
            <w:hideMark/>
          </w:tcPr>
          <w:p w14:paraId="127BF2DE"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RECAPEAMENTO ASFÁLTICO</w:t>
            </w:r>
          </w:p>
        </w:tc>
        <w:tc>
          <w:tcPr>
            <w:tcW w:w="851" w:type="dxa"/>
            <w:tcBorders>
              <w:top w:val="nil"/>
              <w:left w:val="nil"/>
              <w:bottom w:val="single" w:sz="4" w:space="0" w:color="auto"/>
              <w:right w:val="single" w:sz="4" w:space="0" w:color="auto"/>
            </w:tcBorders>
            <w:shd w:val="clear" w:color="000000" w:fill="D9D9D9"/>
            <w:vAlign w:val="center"/>
            <w:hideMark/>
          </w:tcPr>
          <w:p w14:paraId="3820DD08"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1131" w:type="dxa"/>
            <w:tcBorders>
              <w:top w:val="nil"/>
              <w:left w:val="nil"/>
              <w:bottom w:val="single" w:sz="4" w:space="0" w:color="auto"/>
              <w:right w:val="single" w:sz="4" w:space="0" w:color="auto"/>
            </w:tcBorders>
            <w:shd w:val="clear" w:color="000000" w:fill="D9D9D9"/>
            <w:vAlign w:val="center"/>
            <w:hideMark/>
          </w:tcPr>
          <w:p w14:paraId="5FCC4017"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1106" w:type="dxa"/>
            <w:tcBorders>
              <w:top w:val="nil"/>
              <w:left w:val="nil"/>
              <w:bottom w:val="single" w:sz="4" w:space="0" w:color="auto"/>
              <w:right w:val="single" w:sz="4" w:space="0" w:color="auto"/>
            </w:tcBorders>
            <w:shd w:val="clear" w:color="000000" w:fill="D9D9D9"/>
            <w:vAlign w:val="center"/>
            <w:hideMark/>
          </w:tcPr>
          <w:p w14:paraId="39C3976F"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1121" w:type="dxa"/>
            <w:tcBorders>
              <w:top w:val="nil"/>
              <w:left w:val="nil"/>
              <w:bottom w:val="single" w:sz="4" w:space="0" w:color="auto"/>
              <w:right w:val="single" w:sz="4" w:space="0" w:color="auto"/>
            </w:tcBorders>
            <w:shd w:val="clear" w:color="000000" w:fill="D9D9D9"/>
            <w:vAlign w:val="center"/>
            <w:hideMark/>
          </w:tcPr>
          <w:p w14:paraId="1F955870"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516.891,00</w:t>
            </w:r>
          </w:p>
        </w:tc>
        <w:tc>
          <w:tcPr>
            <w:tcW w:w="146" w:type="dxa"/>
            <w:vAlign w:val="center"/>
            <w:hideMark/>
          </w:tcPr>
          <w:p w14:paraId="3F6E95BB"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r w:rsidR="00E220C4" w:rsidRPr="008403C5" w14:paraId="0B8CEF73" w14:textId="77777777" w:rsidTr="00D80563">
        <w:trPr>
          <w:trHeight w:val="300"/>
        </w:trPr>
        <w:tc>
          <w:tcPr>
            <w:tcW w:w="591" w:type="dxa"/>
            <w:tcBorders>
              <w:top w:val="nil"/>
              <w:left w:val="single" w:sz="4" w:space="0" w:color="auto"/>
              <w:bottom w:val="single" w:sz="4" w:space="0" w:color="auto"/>
              <w:right w:val="single" w:sz="4" w:space="0" w:color="auto"/>
            </w:tcBorders>
            <w:shd w:val="clear" w:color="auto" w:fill="auto"/>
            <w:vAlign w:val="center"/>
            <w:hideMark/>
          </w:tcPr>
          <w:p w14:paraId="27E012DF"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1.3.1.</w:t>
            </w:r>
          </w:p>
        </w:tc>
        <w:tc>
          <w:tcPr>
            <w:tcW w:w="1141" w:type="dxa"/>
            <w:tcBorders>
              <w:top w:val="nil"/>
              <w:left w:val="nil"/>
              <w:bottom w:val="single" w:sz="4" w:space="0" w:color="auto"/>
              <w:right w:val="single" w:sz="4" w:space="0" w:color="auto"/>
            </w:tcBorders>
            <w:shd w:val="clear" w:color="auto" w:fill="auto"/>
            <w:vAlign w:val="center"/>
            <w:hideMark/>
          </w:tcPr>
          <w:p w14:paraId="5A40AB42"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Composição</w:t>
            </w:r>
          </w:p>
        </w:tc>
        <w:tc>
          <w:tcPr>
            <w:tcW w:w="760" w:type="dxa"/>
            <w:tcBorders>
              <w:top w:val="nil"/>
              <w:left w:val="nil"/>
              <w:bottom w:val="single" w:sz="4" w:space="0" w:color="auto"/>
              <w:right w:val="single" w:sz="4" w:space="0" w:color="auto"/>
            </w:tcBorders>
            <w:shd w:val="clear" w:color="auto" w:fill="auto"/>
            <w:vAlign w:val="center"/>
            <w:hideMark/>
          </w:tcPr>
          <w:p w14:paraId="7DF6F04B"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003</w:t>
            </w:r>
          </w:p>
        </w:tc>
        <w:tc>
          <w:tcPr>
            <w:tcW w:w="2392" w:type="dxa"/>
            <w:tcBorders>
              <w:top w:val="nil"/>
              <w:left w:val="nil"/>
              <w:bottom w:val="single" w:sz="4" w:space="0" w:color="auto"/>
              <w:right w:val="single" w:sz="4" w:space="0" w:color="auto"/>
            </w:tcBorders>
            <w:shd w:val="clear" w:color="auto" w:fill="auto"/>
            <w:vAlign w:val="bottom"/>
            <w:hideMark/>
          </w:tcPr>
          <w:p w14:paraId="056D6DFA"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PINTURA DE LIGAÇÃO (PAV.URB.)</w:t>
            </w:r>
          </w:p>
        </w:tc>
        <w:tc>
          <w:tcPr>
            <w:tcW w:w="851" w:type="dxa"/>
            <w:tcBorders>
              <w:top w:val="nil"/>
              <w:left w:val="nil"/>
              <w:bottom w:val="single" w:sz="4" w:space="0" w:color="auto"/>
              <w:right w:val="single" w:sz="4" w:space="0" w:color="auto"/>
            </w:tcBorders>
            <w:shd w:val="clear" w:color="auto" w:fill="auto"/>
            <w:vAlign w:val="center"/>
            <w:hideMark/>
          </w:tcPr>
          <w:p w14:paraId="5220C5B1"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m²</w:t>
            </w:r>
          </w:p>
        </w:tc>
        <w:tc>
          <w:tcPr>
            <w:tcW w:w="1131" w:type="dxa"/>
            <w:tcBorders>
              <w:top w:val="nil"/>
              <w:left w:val="nil"/>
              <w:bottom w:val="single" w:sz="4" w:space="0" w:color="auto"/>
              <w:right w:val="single" w:sz="4" w:space="0" w:color="auto"/>
            </w:tcBorders>
            <w:shd w:val="clear" w:color="auto" w:fill="auto"/>
            <w:vAlign w:val="center"/>
            <w:hideMark/>
          </w:tcPr>
          <w:p w14:paraId="4E4D0824"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12.518,96</w:t>
            </w:r>
          </w:p>
        </w:tc>
        <w:tc>
          <w:tcPr>
            <w:tcW w:w="1106" w:type="dxa"/>
            <w:tcBorders>
              <w:top w:val="nil"/>
              <w:left w:val="nil"/>
              <w:bottom w:val="single" w:sz="4" w:space="0" w:color="auto"/>
              <w:right w:val="single" w:sz="4" w:space="0" w:color="auto"/>
            </w:tcBorders>
            <w:shd w:val="clear" w:color="auto" w:fill="auto"/>
            <w:vAlign w:val="center"/>
            <w:hideMark/>
          </w:tcPr>
          <w:p w14:paraId="7C3E3C0B"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0,62</w:t>
            </w:r>
          </w:p>
        </w:tc>
        <w:tc>
          <w:tcPr>
            <w:tcW w:w="1121" w:type="dxa"/>
            <w:tcBorders>
              <w:top w:val="nil"/>
              <w:left w:val="nil"/>
              <w:bottom w:val="single" w:sz="4" w:space="0" w:color="auto"/>
              <w:right w:val="single" w:sz="4" w:space="0" w:color="auto"/>
            </w:tcBorders>
            <w:shd w:val="clear" w:color="auto" w:fill="auto"/>
            <w:vAlign w:val="center"/>
            <w:hideMark/>
          </w:tcPr>
          <w:p w14:paraId="7A927292"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7.761,76</w:t>
            </w:r>
          </w:p>
        </w:tc>
        <w:tc>
          <w:tcPr>
            <w:tcW w:w="146" w:type="dxa"/>
            <w:vAlign w:val="center"/>
            <w:hideMark/>
          </w:tcPr>
          <w:p w14:paraId="5F423F8D"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r w:rsidR="00E220C4" w:rsidRPr="008403C5" w14:paraId="203C38D3" w14:textId="77777777" w:rsidTr="00D80563">
        <w:trPr>
          <w:trHeight w:val="495"/>
        </w:trPr>
        <w:tc>
          <w:tcPr>
            <w:tcW w:w="591" w:type="dxa"/>
            <w:tcBorders>
              <w:top w:val="nil"/>
              <w:left w:val="single" w:sz="4" w:space="0" w:color="auto"/>
              <w:bottom w:val="single" w:sz="4" w:space="0" w:color="auto"/>
              <w:right w:val="single" w:sz="4" w:space="0" w:color="auto"/>
            </w:tcBorders>
            <w:shd w:val="clear" w:color="auto" w:fill="auto"/>
            <w:vAlign w:val="center"/>
            <w:hideMark/>
          </w:tcPr>
          <w:p w14:paraId="38CABF7B"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1.3.2.</w:t>
            </w:r>
          </w:p>
        </w:tc>
        <w:tc>
          <w:tcPr>
            <w:tcW w:w="1141" w:type="dxa"/>
            <w:tcBorders>
              <w:top w:val="nil"/>
              <w:left w:val="nil"/>
              <w:bottom w:val="single" w:sz="4" w:space="0" w:color="auto"/>
              <w:right w:val="single" w:sz="4" w:space="0" w:color="auto"/>
            </w:tcBorders>
            <w:shd w:val="clear" w:color="auto" w:fill="auto"/>
            <w:vAlign w:val="center"/>
            <w:hideMark/>
          </w:tcPr>
          <w:p w14:paraId="5520AE12"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Composição</w:t>
            </w:r>
          </w:p>
        </w:tc>
        <w:tc>
          <w:tcPr>
            <w:tcW w:w="760" w:type="dxa"/>
            <w:tcBorders>
              <w:top w:val="nil"/>
              <w:left w:val="nil"/>
              <w:bottom w:val="single" w:sz="4" w:space="0" w:color="auto"/>
              <w:right w:val="single" w:sz="4" w:space="0" w:color="auto"/>
            </w:tcBorders>
            <w:shd w:val="clear" w:color="auto" w:fill="auto"/>
            <w:vAlign w:val="center"/>
            <w:hideMark/>
          </w:tcPr>
          <w:p w14:paraId="61C2C0F4"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004</w:t>
            </w:r>
          </w:p>
        </w:tc>
        <w:tc>
          <w:tcPr>
            <w:tcW w:w="2392" w:type="dxa"/>
            <w:tcBorders>
              <w:top w:val="nil"/>
              <w:left w:val="nil"/>
              <w:bottom w:val="single" w:sz="4" w:space="0" w:color="auto"/>
              <w:right w:val="single" w:sz="4" w:space="0" w:color="auto"/>
            </w:tcBorders>
            <w:shd w:val="clear" w:color="auto" w:fill="auto"/>
            <w:vAlign w:val="bottom"/>
            <w:hideMark/>
          </w:tcPr>
          <w:p w14:paraId="0771375F"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FORNECIMENTO DE EMULSÃO ASFÁLTICA RR-2C</w:t>
            </w:r>
          </w:p>
        </w:tc>
        <w:tc>
          <w:tcPr>
            <w:tcW w:w="851" w:type="dxa"/>
            <w:tcBorders>
              <w:top w:val="nil"/>
              <w:left w:val="nil"/>
              <w:bottom w:val="single" w:sz="4" w:space="0" w:color="auto"/>
              <w:right w:val="single" w:sz="4" w:space="0" w:color="auto"/>
            </w:tcBorders>
            <w:shd w:val="clear" w:color="auto" w:fill="auto"/>
            <w:vAlign w:val="center"/>
            <w:hideMark/>
          </w:tcPr>
          <w:p w14:paraId="1D65EC1D"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m²</w:t>
            </w:r>
          </w:p>
        </w:tc>
        <w:tc>
          <w:tcPr>
            <w:tcW w:w="1131" w:type="dxa"/>
            <w:tcBorders>
              <w:top w:val="nil"/>
              <w:left w:val="nil"/>
              <w:bottom w:val="single" w:sz="4" w:space="0" w:color="auto"/>
              <w:right w:val="single" w:sz="4" w:space="0" w:color="auto"/>
            </w:tcBorders>
            <w:shd w:val="clear" w:color="auto" w:fill="auto"/>
            <w:vAlign w:val="center"/>
            <w:hideMark/>
          </w:tcPr>
          <w:p w14:paraId="6A1FDBA4"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12.518,96</w:t>
            </w:r>
          </w:p>
        </w:tc>
        <w:tc>
          <w:tcPr>
            <w:tcW w:w="1106" w:type="dxa"/>
            <w:tcBorders>
              <w:top w:val="nil"/>
              <w:left w:val="nil"/>
              <w:bottom w:val="single" w:sz="4" w:space="0" w:color="auto"/>
              <w:right w:val="single" w:sz="4" w:space="0" w:color="auto"/>
            </w:tcBorders>
            <w:shd w:val="clear" w:color="auto" w:fill="auto"/>
            <w:vAlign w:val="center"/>
            <w:hideMark/>
          </w:tcPr>
          <w:p w14:paraId="633A0AE0"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1,40</w:t>
            </w:r>
          </w:p>
        </w:tc>
        <w:tc>
          <w:tcPr>
            <w:tcW w:w="1121" w:type="dxa"/>
            <w:tcBorders>
              <w:top w:val="nil"/>
              <w:left w:val="nil"/>
              <w:bottom w:val="single" w:sz="4" w:space="0" w:color="auto"/>
              <w:right w:val="single" w:sz="4" w:space="0" w:color="auto"/>
            </w:tcBorders>
            <w:shd w:val="clear" w:color="auto" w:fill="auto"/>
            <w:vAlign w:val="center"/>
            <w:hideMark/>
          </w:tcPr>
          <w:p w14:paraId="44C02D95"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17.526,54</w:t>
            </w:r>
          </w:p>
        </w:tc>
        <w:tc>
          <w:tcPr>
            <w:tcW w:w="146" w:type="dxa"/>
            <w:vAlign w:val="center"/>
            <w:hideMark/>
          </w:tcPr>
          <w:p w14:paraId="1BA190C9"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r w:rsidR="00E220C4" w:rsidRPr="008403C5" w14:paraId="103999C3" w14:textId="77777777" w:rsidTr="00D80563">
        <w:trPr>
          <w:trHeight w:val="1215"/>
        </w:trPr>
        <w:tc>
          <w:tcPr>
            <w:tcW w:w="591" w:type="dxa"/>
            <w:tcBorders>
              <w:top w:val="nil"/>
              <w:left w:val="single" w:sz="4" w:space="0" w:color="auto"/>
              <w:bottom w:val="single" w:sz="4" w:space="0" w:color="auto"/>
              <w:right w:val="single" w:sz="4" w:space="0" w:color="auto"/>
            </w:tcBorders>
            <w:shd w:val="clear" w:color="auto" w:fill="auto"/>
            <w:vAlign w:val="center"/>
            <w:hideMark/>
          </w:tcPr>
          <w:p w14:paraId="415CCD45"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1.3.3.</w:t>
            </w:r>
          </w:p>
        </w:tc>
        <w:tc>
          <w:tcPr>
            <w:tcW w:w="1141" w:type="dxa"/>
            <w:tcBorders>
              <w:top w:val="nil"/>
              <w:left w:val="nil"/>
              <w:bottom w:val="single" w:sz="4" w:space="0" w:color="auto"/>
              <w:right w:val="single" w:sz="4" w:space="0" w:color="auto"/>
            </w:tcBorders>
            <w:shd w:val="clear" w:color="auto" w:fill="auto"/>
            <w:vAlign w:val="center"/>
            <w:hideMark/>
          </w:tcPr>
          <w:p w14:paraId="203BA902"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SINAPI</w:t>
            </w:r>
          </w:p>
        </w:tc>
        <w:tc>
          <w:tcPr>
            <w:tcW w:w="760" w:type="dxa"/>
            <w:tcBorders>
              <w:top w:val="nil"/>
              <w:left w:val="nil"/>
              <w:bottom w:val="single" w:sz="4" w:space="0" w:color="auto"/>
              <w:right w:val="single" w:sz="4" w:space="0" w:color="auto"/>
            </w:tcBorders>
            <w:shd w:val="clear" w:color="auto" w:fill="auto"/>
            <w:vAlign w:val="center"/>
            <w:hideMark/>
          </w:tcPr>
          <w:p w14:paraId="2BCF7C82"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102330</w:t>
            </w:r>
          </w:p>
        </w:tc>
        <w:tc>
          <w:tcPr>
            <w:tcW w:w="2392" w:type="dxa"/>
            <w:tcBorders>
              <w:top w:val="nil"/>
              <w:left w:val="nil"/>
              <w:bottom w:val="single" w:sz="4" w:space="0" w:color="auto"/>
              <w:right w:val="single" w:sz="4" w:space="0" w:color="auto"/>
            </w:tcBorders>
            <w:shd w:val="clear" w:color="auto" w:fill="auto"/>
            <w:vAlign w:val="bottom"/>
            <w:hideMark/>
          </w:tcPr>
          <w:p w14:paraId="51E84557"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TRANSPORTE COM CAMINHÃO TANQUE DE TRANSPORTE DE MATERIAL ASFÁLTICO DE 30000 L, EM VIA URBANA PAVIMENTADA, DMT ATÉ 30KM (UNIDADE: TXKM). AF_07/2020</w:t>
            </w:r>
          </w:p>
        </w:tc>
        <w:tc>
          <w:tcPr>
            <w:tcW w:w="851" w:type="dxa"/>
            <w:tcBorders>
              <w:top w:val="nil"/>
              <w:left w:val="nil"/>
              <w:bottom w:val="single" w:sz="4" w:space="0" w:color="auto"/>
              <w:right w:val="single" w:sz="4" w:space="0" w:color="auto"/>
            </w:tcBorders>
            <w:shd w:val="clear" w:color="auto" w:fill="auto"/>
            <w:vAlign w:val="center"/>
            <w:hideMark/>
          </w:tcPr>
          <w:p w14:paraId="56B90AB2"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TXKM</w:t>
            </w:r>
          </w:p>
        </w:tc>
        <w:tc>
          <w:tcPr>
            <w:tcW w:w="1131" w:type="dxa"/>
            <w:tcBorders>
              <w:top w:val="nil"/>
              <w:left w:val="nil"/>
              <w:bottom w:val="single" w:sz="4" w:space="0" w:color="auto"/>
              <w:right w:val="single" w:sz="4" w:space="0" w:color="auto"/>
            </w:tcBorders>
            <w:shd w:val="clear" w:color="auto" w:fill="auto"/>
            <w:vAlign w:val="center"/>
            <w:hideMark/>
          </w:tcPr>
          <w:p w14:paraId="13DC44AE"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169,01</w:t>
            </w:r>
          </w:p>
        </w:tc>
        <w:tc>
          <w:tcPr>
            <w:tcW w:w="1106" w:type="dxa"/>
            <w:tcBorders>
              <w:top w:val="nil"/>
              <w:left w:val="nil"/>
              <w:bottom w:val="single" w:sz="4" w:space="0" w:color="auto"/>
              <w:right w:val="single" w:sz="4" w:space="0" w:color="auto"/>
            </w:tcBorders>
            <w:shd w:val="clear" w:color="auto" w:fill="auto"/>
            <w:vAlign w:val="center"/>
            <w:hideMark/>
          </w:tcPr>
          <w:p w14:paraId="04437DEA"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1,72</w:t>
            </w:r>
          </w:p>
        </w:tc>
        <w:tc>
          <w:tcPr>
            <w:tcW w:w="1121" w:type="dxa"/>
            <w:tcBorders>
              <w:top w:val="nil"/>
              <w:left w:val="nil"/>
              <w:bottom w:val="single" w:sz="4" w:space="0" w:color="auto"/>
              <w:right w:val="single" w:sz="4" w:space="0" w:color="auto"/>
            </w:tcBorders>
            <w:shd w:val="clear" w:color="auto" w:fill="auto"/>
            <w:vAlign w:val="center"/>
            <w:hideMark/>
          </w:tcPr>
          <w:p w14:paraId="2C421E0D"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290,70</w:t>
            </w:r>
          </w:p>
        </w:tc>
        <w:tc>
          <w:tcPr>
            <w:tcW w:w="146" w:type="dxa"/>
            <w:vAlign w:val="center"/>
            <w:hideMark/>
          </w:tcPr>
          <w:p w14:paraId="7F879A5B"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r w:rsidR="00E220C4" w:rsidRPr="008403C5" w14:paraId="787F0B97" w14:textId="77777777" w:rsidTr="00D80563">
        <w:trPr>
          <w:trHeight w:val="1215"/>
        </w:trPr>
        <w:tc>
          <w:tcPr>
            <w:tcW w:w="591" w:type="dxa"/>
            <w:tcBorders>
              <w:top w:val="nil"/>
              <w:left w:val="single" w:sz="4" w:space="0" w:color="auto"/>
              <w:bottom w:val="single" w:sz="4" w:space="0" w:color="auto"/>
              <w:right w:val="single" w:sz="4" w:space="0" w:color="auto"/>
            </w:tcBorders>
            <w:shd w:val="clear" w:color="auto" w:fill="auto"/>
            <w:vAlign w:val="center"/>
            <w:hideMark/>
          </w:tcPr>
          <w:p w14:paraId="0CCC7555"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1.3.4.</w:t>
            </w:r>
          </w:p>
        </w:tc>
        <w:tc>
          <w:tcPr>
            <w:tcW w:w="1141" w:type="dxa"/>
            <w:tcBorders>
              <w:top w:val="nil"/>
              <w:left w:val="nil"/>
              <w:bottom w:val="single" w:sz="4" w:space="0" w:color="auto"/>
              <w:right w:val="single" w:sz="4" w:space="0" w:color="auto"/>
            </w:tcBorders>
            <w:shd w:val="clear" w:color="auto" w:fill="auto"/>
            <w:vAlign w:val="center"/>
            <w:hideMark/>
          </w:tcPr>
          <w:p w14:paraId="1ABDE6CB"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SINAPI</w:t>
            </w:r>
          </w:p>
        </w:tc>
        <w:tc>
          <w:tcPr>
            <w:tcW w:w="760" w:type="dxa"/>
            <w:tcBorders>
              <w:top w:val="nil"/>
              <w:left w:val="nil"/>
              <w:bottom w:val="single" w:sz="4" w:space="0" w:color="auto"/>
              <w:right w:val="single" w:sz="4" w:space="0" w:color="auto"/>
            </w:tcBorders>
            <w:shd w:val="clear" w:color="auto" w:fill="auto"/>
            <w:vAlign w:val="center"/>
            <w:hideMark/>
          </w:tcPr>
          <w:p w14:paraId="024BB3F8"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102331</w:t>
            </w:r>
          </w:p>
        </w:tc>
        <w:tc>
          <w:tcPr>
            <w:tcW w:w="2392" w:type="dxa"/>
            <w:tcBorders>
              <w:top w:val="nil"/>
              <w:left w:val="nil"/>
              <w:bottom w:val="single" w:sz="4" w:space="0" w:color="auto"/>
              <w:right w:val="single" w:sz="4" w:space="0" w:color="auto"/>
            </w:tcBorders>
            <w:shd w:val="clear" w:color="auto" w:fill="auto"/>
            <w:vAlign w:val="bottom"/>
            <w:hideMark/>
          </w:tcPr>
          <w:p w14:paraId="2D43E9BE"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TRANSPORTE COM CAMINHÃO TANQUE DE TRANSPORTE DE MATERIAL ASFÁLTICO DE 30000 L, EM VIA URBANA PAVIMENTADA, ADICIONAL PARA DMT EXCEDENTE A 30 KM (UNIDADE: TXKM). AF_07/2020</w:t>
            </w:r>
          </w:p>
        </w:tc>
        <w:tc>
          <w:tcPr>
            <w:tcW w:w="851" w:type="dxa"/>
            <w:tcBorders>
              <w:top w:val="nil"/>
              <w:left w:val="nil"/>
              <w:bottom w:val="single" w:sz="4" w:space="0" w:color="auto"/>
              <w:right w:val="single" w:sz="4" w:space="0" w:color="auto"/>
            </w:tcBorders>
            <w:shd w:val="clear" w:color="auto" w:fill="auto"/>
            <w:vAlign w:val="center"/>
            <w:hideMark/>
          </w:tcPr>
          <w:p w14:paraId="216ADDCB"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TXKM</w:t>
            </w:r>
          </w:p>
        </w:tc>
        <w:tc>
          <w:tcPr>
            <w:tcW w:w="1131" w:type="dxa"/>
            <w:tcBorders>
              <w:top w:val="nil"/>
              <w:left w:val="nil"/>
              <w:bottom w:val="single" w:sz="4" w:space="0" w:color="auto"/>
              <w:right w:val="single" w:sz="4" w:space="0" w:color="auto"/>
            </w:tcBorders>
            <w:shd w:val="clear" w:color="auto" w:fill="auto"/>
            <w:vAlign w:val="center"/>
            <w:hideMark/>
          </w:tcPr>
          <w:p w14:paraId="1BCB6EF8"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62,53</w:t>
            </w:r>
          </w:p>
        </w:tc>
        <w:tc>
          <w:tcPr>
            <w:tcW w:w="1106" w:type="dxa"/>
            <w:tcBorders>
              <w:top w:val="nil"/>
              <w:left w:val="nil"/>
              <w:bottom w:val="single" w:sz="4" w:space="0" w:color="auto"/>
              <w:right w:val="single" w:sz="4" w:space="0" w:color="auto"/>
            </w:tcBorders>
            <w:shd w:val="clear" w:color="auto" w:fill="auto"/>
            <w:vAlign w:val="center"/>
            <w:hideMark/>
          </w:tcPr>
          <w:p w14:paraId="666CD8BD"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0,67</w:t>
            </w:r>
          </w:p>
        </w:tc>
        <w:tc>
          <w:tcPr>
            <w:tcW w:w="1121" w:type="dxa"/>
            <w:tcBorders>
              <w:top w:val="nil"/>
              <w:left w:val="nil"/>
              <w:bottom w:val="single" w:sz="4" w:space="0" w:color="auto"/>
              <w:right w:val="single" w:sz="4" w:space="0" w:color="auto"/>
            </w:tcBorders>
            <w:shd w:val="clear" w:color="auto" w:fill="auto"/>
            <w:vAlign w:val="center"/>
            <w:hideMark/>
          </w:tcPr>
          <w:p w14:paraId="78C3B0C9"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41,90</w:t>
            </w:r>
          </w:p>
        </w:tc>
        <w:tc>
          <w:tcPr>
            <w:tcW w:w="146" w:type="dxa"/>
            <w:vAlign w:val="center"/>
            <w:hideMark/>
          </w:tcPr>
          <w:p w14:paraId="0661FEF7"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r w:rsidR="00E220C4" w:rsidRPr="008403C5" w14:paraId="24C7015A" w14:textId="77777777" w:rsidTr="00D80563">
        <w:trPr>
          <w:trHeight w:val="975"/>
        </w:trPr>
        <w:tc>
          <w:tcPr>
            <w:tcW w:w="591" w:type="dxa"/>
            <w:tcBorders>
              <w:top w:val="nil"/>
              <w:left w:val="single" w:sz="4" w:space="0" w:color="auto"/>
              <w:bottom w:val="single" w:sz="4" w:space="0" w:color="auto"/>
              <w:right w:val="single" w:sz="4" w:space="0" w:color="auto"/>
            </w:tcBorders>
            <w:shd w:val="clear" w:color="auto" w:fill="auto"/>
            <w:vAlign w:val="center"/>
            <w:hideMark/>
          </w:tcPr>
          <w:p w14:paraId="3CEC9319"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lastRenderedPageBreak/>
              <w:t>1.3.5.</w:t>
            </w:r>
          </w:p>
        </w:tc>
        <w:tc>
          <w:tcPr>
            <w:tcW w:w="1141" w:type="dxa"/>
            <w:tcBorders>
              <w:top w:val="nil"/>
              <w:left w:val="nil"/>
              <w:bottom w:val="single" w:sz="4" w:space="0" w:color="auto"/>
              <w:right w:val="single" w:sz="4" w:space="0" w:color="auto"/>
            </w:tcBorders>
            <w:shd w:val="clear" w:color="auto" w:fill="auto"/>
            <w:vAlign w:val="center"/>
            <w:hideMark/>
          </w:tcPr>
          <w:p w14:paraId="5AD3E7A5"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SINAPI</w:t>
            </w:r>
          </w:p>
        </w:tc>
        <w:tc>
          <w:tcPr>
            <w:tcW w:w="760" w:type="dxa"/>
            <w:tcBorders>
              <w:top w:val="nil"/>
              <w:left w:val="nil"/>
              <w:bottom w:val="single" w:sz="4" w:space="0" w:color="auto"/>
              <w:right w:val="single" w:sz="4" w:space="0" w:color="auto"/>
            </w:tcBorders>
            <w:shd w:val="clear" w:color="auto" w:fill="auto"/>
            <w:vAlign w:val="center"/>
            <w:hideMark/>
          </w:tcPr>
          <w:p w14:paraId="0E6A7C50"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95995</w:t>
            </w:r>
          </w:p>
        </w:tc>
        <w:tc>
          <w:tcPr>
            <w:tcW w:w="2392" w:type="dxa"/>
            <w:tcBorders>
              <w:top w:val="nil"/>
              <w:left w:val="nil"/>
              <w:bottom w:val="single" w:sz="4" w:space="0" w:color="auto"/>
              <w:right w:val="single" w:sz="4" w:space="0" w:color="auto"/>
            </w:tcBorders>
            <w:shd w:val="clear" w:color="auto" w:fill="auto"/>
            <w:vAlign w:val="bottom"/>
            <w:hideMark/>
          </w:tcPr>
          <w:p w14:paraId="262FB499"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EXECUÇÃO DE PAVIMENTO COM APLICAÇÃO DE CONCRETO ASFÁLTICO, CAMADA DE ROLAMENTO - EXCLUSIVE CARGA E TRANSPORTE. AF_11/2019</w:t>
            </w:r>
          </w:p>
        </w:tc>
        <w:tc>
          <w:tcPr>
            <w:tcW w:w="851" w:type="dxa"/>
            <w:tcBorders>
              <w:top w:val="nil"/>
              <w:left w:val="nil"/>
              <w:bottom w:val="single" w:sz="4" w:space="0" w:color="auto"/>
              <w:right w:val="single" w:sz="4" w:space="0" w:color="auto"/>
            </w:tcBorders>
            <w:shd w:val="clear" w:color="auto" w:fill="auto"/>
            <w:vAlign w:val="center"/>
            <w:hideMark/>
          </w:tcPr>
          <w:p w14:paraId="0F301984"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M3</w:t>
            </w:r>
          </w:p>
        </w:tc>
        <w:tc>
          <w:tcPr>
            <w:tcW w:w="1131" w:type="dxa"/>
            <w:tcBorders>
              <w:top w:val="nil"/>
              <w:left w:val="nil"/>
              <w:bottom w:val="single" w:sz="4" w:space="0" w:color="auto"/>
              <w:right w:val="single" w:sz="4" w:space="0" w:color="auto"/>
            </w:tcBorders>
            <w:shd w:val="clear" w:color="auto" w:fill="auto"/>
            <w:vAlign w:val="center"/>
            <w:hideMark/>
          </w:tcPr>
          <w:p w14:paraId="434F9ED1"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250,38</w:t>
            </w:r>
          </w:p>
        </w:tc>
        <w:tc>
          <w:tcPr>
            <w:tcW w:w="1106" w:type="dxa"/>
            <w:tcBorders>
              <w:top w:val="nil"/>
              <w:left w:val="nil"/>
              <w:bottom w:val="single" w:sz="4" w:space="0" w:color="auto"/>
              <w:right w:val="single" w:sz="4" w:space="0" w:color="auto"/>
            </w:tcBorders>
            <w:shd w:val="clear" w:color="auto" w:fill="auto"/>
            <w:vAlign w:val="center"/>
            <w:hideMark/>
          </w:tcPr>
          <w:p w14:paraId="608C84CD"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1.839,18</w:t>
            </w:r>
          </w:p>
        </w:tc>
        <w:tc>
          <w:tcPr>
            <w:tcW w:w="1121" w:type="dxa"/>
            <w:tcBorders>
              <w:top w:val="nil"/>
              <w:left w:val="nil"/>
              <w:bottom w:val="single" w:sz="4" w:space="0" w:color="auto"/>
              <w:right w:val="single" w:sz="4" w:space="0" w:color="auto"/>
            </w:tcBorders>
            <w:shd w:val="clear" w:color="auto" w:fill="auto"/>
            <w:vAlign w:val="center"/>
            <w:hideMark/>
          </w:tcPr>
          <w:p w14:paraId="09CF9441"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460.493,89</w:t>
            </w:r>
          </w:p>
        </w:tc>
        <w:tc>
          <w:tcPr>
            <w:tcW w:w="146" w:type="dxa"/>
            <w:vAlign w:val="center"/>
            <w:hideMark/>
          </w:tcPr>
          <w:p w14:paraId="7B7724AD"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r w:rsidR="00E220C4" w:rsidRPr="008403C5" w14:paraId="49B9A4F8" w14:textId="77777777" w:rsidTr="00D80563">
        <w:trPr>
          <w:trHeight w:val="975"/>
        </w:trPr>
        <w:tc>
          <w:tcPr>
            <w:tcW w:w="591" w:type="dxa"/>
            <w:tcBorders>
              <w:top w:val="nil"/>
              <w:left w:val="single" w:sz="4" w:space="0" w:color="auto"/>
              <w:bottom w:val="single" w:sz="4" w:space="0" w:color="auto"/>
              <w:right w:val="single" w:sz="4" w:space="0" w:color="auto"/>
            </w:tcBorders>
            <w:shd w:val="clear" w:color="auto" w:fill="auto"/>
            <w:vAlign w:val="center"/>
            <w:hideMark/>
          </w:tcPr>
          <w:p w14:paraId="018BA0F5"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1.3.6.</w:t>
            </w:r>
          </w:p>
        </w:tc>
        <w:tc>
          <w:tcPr>
            <w:tcW w:w="1141" w:type="dxa"/>
            <w:tcBorders>
              <w:top w:val="nil"/>
              <w:left w:val="nil"/>
              <w:bottom w:val="single" w:sz="4" w:space="0" w:color="auto"/>
              <w:right w:val="single" w:sz="4" w:space="0" w:color="auto"/>
            </w:tcBorders>
            <w:shd w:val="clear" w:color="auto" w:fill="auto"/>
            <w:vAlign w:val="center"/>
            <w:hideMark/>
          </w:tcPr>
          <w:p w14:paraId="64AA8083"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SINAPI</w:t>
            </w:r>
          </w:p>
        </w:tc>
        <w:tc>
          <w:tcPr>
            <w:tcW w:w="760" w:type="dxa"/>
            <w:tcBorders>
              <w:top w:val="nil"/>
              <w:left w:val="nil"/>
              <w:bottom w:val="single" w:sz="4" w:space="0" w:color="auto"/>
              <w:right w:val="single" w:sz="4" w:space="0" w:color="auto"/>
            </w:tcBorders>
            <w:shd w:val="clear" w:color="auto" w:fill="auto"/>
            <w:vAlign w:val="center"/>
            <w:hideMark/>
          </w:tcPr>
          <w:p w14:paraId="7C11138E"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95880</w:t>
            </w:r>
          </w:p>
        </w:tc>
        <w:tc>
          <w:tcPr>
            <w:tcW w:w="2392" w:type="dxa"/>
            <w:tcBorders>
              <w:top w:val="nil"/>
              <w:left w:val="nil"/>
              <w:bottom w:val="single" w:sz="4" w:space="0" w:color="auto"/>
              <w:right w:val="single" w:sz="4" w:space="0" w:color="auto"/>
            </w:tcBorders>
            <w:shd w:val="clear" w:color="auto" w:fill="auto"/>
            <w:vAlign w:val="bottom"/>
            <w:hideMark/>
          </w:tcPr>
          <w:p w14:paraId="36281E74"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TRANSPORTE COM CAMINHÃO BASCULANTE DE 18 M³, EM VIA URBANA PAVIMENTADA, DMT ATÉ 30 KM (UNIDADE: TXKM). AF_07/2020</w:t>
            </w:r>
          </w:p>
        </w:tc>
        <w:tc>
          <w:tcPr>
            <w:tcW w:w="851" w:type="dxa"/>
            <w:tcBorders>
              <w:top w:val="nil"/>
              <w:left w:val="nil"/>
              <w:bottom w:val="single" w:sz="4" w:space="0" w:color="auto"/>
              <w:right w:val="single" w:sz="4" w:space="0" w:color="auto"/>
            </w:tcBorders>
            <w:shd w:val="clear" w:color="auto" w:fill="auto"/>
            <w:vAlign w:val="center"/>
            <w:hideMark/>
          </w:tcPr>
          <w:p w14:paraId="3C252953"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TXKM</w:t>
            </w:r>
          </w:p>
        </w:tc>
        <w:tc>
          <w:tcPr>
            <w:tcW w:w="1131" w:type="dxa"/>
            <w:tcBorders>
              <w:top w:val="nil"/>
              <w:left w:val="nil"/>
              <w:bottom w:val="single" w:sz="4" w:space="0" w:color="auto"/>
              <w:right w:val="single" w:sz="4" w:space="0" w:color="auto"/>
            </w:tcBorders>
            <w:shd w:val="clear" w:color="auto" w:fill="auto"/>
            <w:vAlign w:val="center"/>
            <w:hideMark/>
          </w:tcPr>
          <w:p w14:paraId="78AF1F2E"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18.027,30</w:t>
            </w:r>
          </w:p>
        </w:tc>
        <w:tc>
          <w:tcPr>
            <w:tcW w:w="1106" w:type="dxa"/>
            <w:tcBorders>
              <w:top w:val="nil"/>
              <w:left w:val="nil"/>
              <w:bottom w:val="single" w:sz="4" w:space="0" w:color="auto"/>
              <w:right w:val="single" w:sz="4" w:space="0" w:color="auto"/>
            </w:tcBorders>
            <w:shd w:val="clear" w:color="auto" w:fill="auto"/>
            <w:vAlign w:val="center"/>
            <w:hideMark/>
          </w:tcPr>
          <w:p w14:paraId="714C133B"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1,50</w:t>
            </w:r>
          </w:p>
        </w:tc>
        <w:tc>
          <w:tcPr>
            <w:tcW w:w="1121" w:type="dxa"/>
            <w:tcBorders>
              <w:top w:val="nil"/>
              <w:left w:val="nil"/>
              <w:bottom w:val="single" w:sz="4" w:space="0" w:color="auto"/>
              <w:right w:val="single" w:sz="4" w:space="0" w:color="auto"/>
            </w:tcBorders>
            <w:shd w:val="clear" w:color="auto" w:fill="auto"/>
            <w:vAlign w:val="center"/>
            <w:hideMark/>
          </w:tcPr>
          <w:p w14:paraId="0E8AB174"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27.040,95</w:t>
            </w:r>
          </w:p>
        </w:tc>
        <w:tc>
          <w:tcPr>
            <w:tcW w:w="146" w:type="dxa"/>
            <w:vAlign w:val="center"/>
            <w:hideMark/>
          </w:tcPr>
          <w:p w14:paraId="79C65BB8"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r w:rsidR="00E220C4" w:rsidRPr="008403C5" w14:paraId="77027F2A" w14:textId="77777777" w:rsidTr="00D80563">
        <w:trPr>
          <w:trHeight w:val="1215"/>
        </w:trPr>
        <w:tc>
          <w:tcPr>
            <w:tcW w:w="591" w:type="dxa"/>
            <w:tcBorders>
              <w:top w:val="nil"/>
              <w:left w:val="single" w:sz="4" w:space="0" w:color="auto"/>
              <w:bottom w:val="single" w:sz="4" w:space="0" w:color="auto"/>
              <w:right w:val="single" w:sz="4" w:space="0" w:color="auto"/>
            </w:tcBorders>
            <w:shd w:val="clear" w:color="auto" w:fill="auto"/>
            <w:vAlign w:val="center"/>
            <w:hideMark/>
          </w:tcPr>
          <w:p w14:paraId="71FA9322"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1.3.7.</w:t>
            </w:r>
          </w:p>
        </w:tc>
        <w:tc>
          <w:tcPr>
            <w:tcW w:w="1141" w:type="dxa"/>
            <w:tcBorders>
              <w:top w:val="nil"/>
              <w:left w:val="nil"/>
              <w:bottom w:val="single" w:sz="4" w:space="0" w:color="auto"/>
              <w:right w:val="single" w:sz="4" w:space="0" w:color="auto"/>
            </w:tcBorders>
            <w:shd w:val="clear" w:color="auto" w:fill="auto"/>
            <w:vAlign w:val="center"/>
            <w:hideMark/>
          </w:tcPr>
          <w:p w14:paraId="34EB85C6"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SINAPI</w:t>
            </w:r>
          </w:p>
        </w:tc>
        <w:tc>
          <w:tcPr>
            <w:tcW w:w="760" w:type="dxa"/>
            <w:tcBorders>
              <w:top w:val="nil"/>
              <w:left w:val="nil"/>
              <w:bottom w:val="single" w:sz="4" w:space="0" w:color="auto"/>
              <w:right w:val="single" w:sz="4" w:space="0" w:color="auto"/>
            </w:tcBorders>
            <w:shd w:val="clear" w:color="auto" w:fill="auto"/>
            <w:vAlign w:val="center"/>
            <w:hideMark/>
          </w:tcPr>
          <w:p w14:paraId="4A77D1AC"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95430</w:t>
            </w:r>
          </w:p>
        </w:tc>
        <w:tc>
          <w:tcPr>
            <w:tcW w:w="2392" w:type="dxa"/>
            <w:tcBorders>
              <w:top w:val="nil"/>
              <w:left w:val="nil"/>
              <w:bottom w:val="single" w:sz="4" w:space="0" w:color="auto"/>
              <w:right w:val="single" w:sz="4" w:space="0" w:color="auto"/>
            </w:tcBorders>
            <w:shd w:val="clear" w:color="auto" w:fill="auto"/>
            <w:vAlign w:val="bottom"/>
            <w:hideMark/>
          </w:tcPr>
          <w:p w14:paraId="71B39E08"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TRANSPORTE COM CAMINHÃO BASCULANTE DE 18 M³, EM VIA URBANA PAVIMENTADA, ADICIONAL PARA DMT EXCEDENTE A 30 KM (UNIDADE: TXKM). AF_07/2020</w:t>
            </w:r>
          </w:p>
        </w:tc>
        <w:tc>
          <w:tcPr>
            <w:tcW w:w="851" w:type="dxa"/>
            <w:tcBorders>
              <w:top w:val="nil"/>
              <w:left w:val="nil"/>
              <w:bottom w:val="single" w:sz="4" w:space="0" w:color="auto"/>
              <w:right w:val="single" w:sz="4" w:space="0" w:color="auto"/>
            </w:tcBorders>
            <w:shd w:val="clear" w:color="auto" w:fill="auto"/>
            <w:vAlign w:val="center"/>
            <w:hideMark/>
          </w:tcPr>
          <w:p w14:paraId="12C27DFD"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TXKM</w:t>
            </w:r>
          </w:p>
        </w:tc>
        <w:tc>
          <w:tcPr>
            <w:tcW w:w="1131" w:type="dxa"/>
            <w:tcBorders>
              <w:top w:val="nil"/>
              <w:left w:val="nil"/>
              <w:bottom w:val="single" w:sz="4" w:space="0" w:color="auto"/>
              <w:right w:val="single" w:sz="4" w:space="0" w:color="auto"/>
            </w:tcBorders>
            <w:shd w:val="clear" w:color="auto" w:fill="auto"/>
            <w:vAlign w:val="center"/>
            <w:hideMark/>
          </w:tcPr>
          <w:p w14:paraId="4A6807BC"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6.670,10</w:t>
            </w:r>
          </w:p>
        </w:tc>
        <w:tc>
          <w:tcPr>
            <w:tcW w:w="1106" w:type="dxa"/>
            <w:tcBorders>
              <w:top w:val="nil"/>
              <w:left w:val="nil"/>
              <w:bottom w:val="single" w:sz="4" w:space="0" w:color="auto"/>
              <w:right w:val="single" w:sz="4" w:space="0" w:color="auto"/>
            </w:tcBorders>
            <w:shd w:val="clear" w:color="auto" w:fill="auto"/>
            <w:vAlign w:val="center"/>
            <w:hideMark/>
          </w:tcPr>
          <w:p w14:paraId="13FD9350"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0,56</w:t>
            </w:r>
          </w:p>
        </w:tc>
        <w:tc>
          <w:tcPr>
            <w:tcW w:w="1121" w:type="dxa"/>
            <w:tcBorders>
              <w:top w:val="nil"/>
              <w:left w:val="nil"/>
              <w:bottom w:val="single" w:sz="4" w:space="0" w:color="auto"/>
              <w:right w:val="single" w:sz="4" w:space="0" w:color="auto"/>
            </w:tcBorders>
            <w:shd w:val="clear" w:color="auto" w:fill="auto"/>
            <w:vAlign w:val="center"/>
            <w:hideMark/>
          </w:tcPr>
          <w:p w14:paraId="020919A4"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3.735,26</w:t>
            </w:r>
          </w:p>
        </w:tc>
        <w:tc>
          <w:tcPr>
            <w:tcW w:w="146" w:type="dxa"/>
            <w:vAlign w:val="center"/>
            <w:hideMark/>
          </w:tcPr>
          <w:p w14:paraId="3229572F"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r w:rsidR="00E220C4" w:rsidRPr="008403C5" w14:paraId="55F68180" w14:textId="77777777" w:rsidTr="00D80563">
        <w:trPr>
          <w:trHeight w:val="300"/>
        </w:trPr>
        <w:tc>
          <w:tcPr>
            <w:tcW w:w="591" w:type="dxa"/>
            <w:tcBorders>
              <w:top w:val="nil"/>
              <w:left w:val="single" w:sz="4" w:space="0" w:color="auto"/>
              <w:bottom w:val="single" w:sz="4" w:space="0" w:color="auto"/>
              <w:right w:val="single" w:sz="4" w:space="0" w:color="auto"/>
            </w:tcBorders>
            <w:shd w:val="clear" w:color="000000" w:fill="D9D9D9"/>
            <w:vAlign w:val="center"/>
            <w:hideMark/>
          </w:tcPr>
          <w:p w14:paraId="35D55DFA"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1.4.</w:t>
            </w:r>
          </w:p>
        </w:tc>
        <w:tc>
          <w:tcPr>
            <w:tcW w:w="1141" w:type="dxa"/>
            <w:tcBorders>
              <w:top w:val="nil"/>
              <w:left w:val="nil"/>
              <w:bottom w:val="single" w:sz="4" w:space="0" w:color="auto"/>
              <w:right w:val="single" w:sz="4" w:space="0" w:color="auto"/>
            </w:tcBorders>
            <w:shd w:val="clear" w:color="000000" w:fill="D9D9D9"/>
            <w:vAlign w:val="center"/>
            <w:hideMark/>
          </w:tcPr>
          <w:p w14:paraId="55831311"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760" w:type="dxa"/>
            <w:tcBorders>
              <w:top w:val="nil"/>
              <w:left w:val="nil"/>
              <w:bottom w:val="single" w:sz="4" w:space="0" w:color="auto"/>
              <w:right w:val="single" w:sz="4" w:space="0" w:color="auto"/>
            </w:tcBorders>
            <w:shd w:val="clear" w:color="000000" w:fill="D9D9D9"/>
            <w:vAlign w:val="center"/>
            <w:hideMark/>
          </w:tcPr>
          <w:p w14:paraId="207F4573"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2392" w:type="dxa"/>
            <w:tcBorders>
              <w:top w:val="nil"/>
              <w:left w:val="nil"/>
              <w:bottom w:val="single" w:sz="4" w:space="0" w:color="auto"/>
              <w:right w:val="single" w:sz="4" w:space="0" w:color="auto"/>
            </w:tcBorders>
            <w:shd w:val="clear" w:color="000000" w:fill="D9D9D9"/>
            <w:vAlign w:val="bottom"/>
            <w:hideMark/>
          </w:tcPr>
          <w:p w14:paraId="4D981130"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DRENAGEM SUPERFICIAL</w:t>
            </w:r>
          </w:p>
        </w:tc>
        <w:tc>
          <w:tcPr>
            <w:tcW w:w="851" w:type="dxa"/>
            <w:tcBorders>
              <w:top w:val="nil"/>
              <w:left w:val="nil"/>
              <w:bottom w:val="single" w:sz="4" w:space="0" w:color="auto"/>
              <w:right w:val="single" w:sz="4" w:space="0" w:color="auto"/>
            </w:tcBorders>
            <w:shd w:val="clear" w:color="000000" w:fill="D9D9D9"/>
            <w:vAlign w:val="center"/>
            <w:hideMark/>
          </w:tcPr>
          <w:p w14:paraId="5DD8320E"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1131" w:type="dxa"/>
            <w:tcBorders>
              <w:top w:val="nil"/>
              <w:left w:val="nil"/>
              <w:bottom w:val="single" w:sz="4" w:space="0" w:color="auto"/>
              <w:right w:val="single" w:sz="4" w:space="0" w:color="auto"/>
            </w:tcBorders>
            <w:shd w:val="clear" w:color="000000" w:fill="D9D9D9"/>
            <w:vAlign w:val="center"/>
            <w:hideMark/>
          </w:tcPr>
          <w:p w14:paraId="4A053833"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1106" w:type="dxa"/>
            <w:tcBorders>
              <w:top w:val="nil"/>
              <w:left w:val="nil"/>
              <w:bottom w:val="single" w:sz="4" w:space="0" w:color="auto"/>
              <w:right w:val="single" w:sz="4" w:space="0" w:color="auto"/>
            </w:tcBorders>
            <w:shd w:val="clear" w:color="000000" w:fill="D9D9D9"/>
            <w:vAlign w:val="center"/>
            <w:hideMark/>
          </w:tcPr>
          <w:p w14:paraId="4549D2B2"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1121" w:type="dxa"/>
            <w:tcBorders>
              <w:top w:val="nil"/>
              <w:left w:val="nil"/>
              <w:bottom w:val="single" w:sz="4" w:space="0" w:color="auto"/>
              <w:right w:val="single" w:sz="4" w:space="0" w:color="auto"/>
            </w:tcBorders>
            <w:shd w:val="clear" w:color="000000" w:fill="D9D9D9"/>
            <w:vAlign w:val="center"/>
            <w:hideMark/>
          </w:tcPr>
          <w:p w14:paraId="3C24CC28"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179.487,40</w:t>
            </w:r>
          </w:p>
        </w:tc>
        <w:tc>
          <w:tcPr>
            <w:tcW w:w="146" w:type="dxa"/>
            <w:vAlign w:val="center"/>
            <w:hideMark/>
          </w:tcPr>
          <w:p w14:paraId="6AB8FE09"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r w:rsidR="00E220C4" w:rsidRPr="008403C5" w14:paraId="70383949" w14:textId="77777777" w:rsidTr="00D80563">
        <w:trPr>
          <w:trHeight w:val="735"/>
        </w:trPr>
        <w:tc>
          <w:tcPr>
            <w:tcW w:w="591" w:type="dxa"/>
            <w:tcBorders>
              <w:top w:val="nil"/>
              <w:left w:val="single" w:sz="4" w:space="0" w:color="auto"/>
              <w:bottom w:val="single" w:sz="4" w:space="0" w:color="auto"/>
              <w:right w:val="single" w:sz="4" w:space="0" w:color="auto"/>
            </w:tcBorders>
            <w:shd w:val="clear" w:color="auto" w:fill="auto"/>
            <w:vAlign w:val="center"/>
            <w:hideMark/>
          </w:tcPr>
          <w:p w14:paraId="6CD2EA5B"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1.4.1.</w:t>
            </w:r>
          </w:p>
        </w:tc>
        <w:tc>
          <w:tcPr>
            <w:tcW w:w="1141" w:type="dxa"/>
            <w:tcBorders>
              <w:top w:val="nil"/>
              <w:left w:val="nil"/>
              <w:bottom w:val="single" w:sz="4" w:space="0" w:color="auto"/>
              <w:right w:val="single" w:sz="4" w:space="0" w:color="auto"/>
            </w:tcBorders>
            <w:shd w:val="clear" w:color="auto" w:fill="auto"/>
            <w:vAlign w:val="center"/>
            <w:hideMark/>
          </w:tcPr>
          <w:p w14:paraId="7275A39C"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SINAPI</w:t>
            </w:r>
          </w:p>
        </w:tc>
        <w:tc>
          <w:tcPr>
            <w:tcW w:w="760" w:type="dxa"/>
            <w:tcBorders>
              <w:top w:val="nil"/>
              <w:left w:val="nil"/>
              <w:bottom w:val="single" w:sz="4" w:space="0" w:color="auto"/>
              <w:right w:val="single" w:sz="4" w:space="0" w:color="auto"/>
            </w:tcBorders>
            <w:shd w:val="clear" w:color="auto" w:fill="auto"/>
            <w:vAlign w:val="center"/>
            <w:hideMark/>
          </w:tcPr>
          <w:p w14:paraId="26128FEF"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97636</w:t>
            </w:r>
          </w:p>
        </w:tc>
        <w:tc>
          <w:tcPr>
            <w:tcW w:w="2392" w:type="dxa"/>
            <w:tcBorders>
              <w:top w:val="nil"/>
              <w:left w:val="nil"/>
              <w:bottom w:val="single" w:sz="4" w:space="0" w:color="auto"/>
              <w:right w:val="single" w:sz="4" w:space="0" w:color="auto"/>
            </w:tcBorders>
            <w:shd w:val="clear" w:color="auto" w:fill="auto"/>
            <w:vAlign w:val="bottom"/>
            <w:hideMark/>
          </w:tcPr>
          <w:p w14:paraId="31288BD5"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DEMOLIÇÃO PARCIAL DE PAVIMENTO ASFÁLTICO, DE FORMA MECANIZADA, SEM REAPROVEITAMENTO. AF_09/2023</w:t>
            </w:r>
          </w:p>
        </w:tc>
        <w:tc>
          <w:tcPr>
            <w:tcW w:w="851" w:type="dxa"/>
            <w:tcBorders>
              <w:top w:val="nil"/>
              <w:left w:val="nil"/>
              <w:bottom w:val="single" w:sz="4" w:space="0" w:color="auto"/>
              <w:right w:val="single" w:sz="4" w:space="0" w:color="auto"/>
            </w:tcBorders>
            <w:shd w:val="clear" w:color="auto" w:fill="auto"/>
            <w:vAlign w:val="center"/>
            <w:hideMark/>
          </w:tcPr>
          <w:p w14:paraId="7B893335"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M2</w:t>
            </w:r>
          </w:p>
        </w:tc>
        <w:tc>
          <w:tcPr>
            <w:tcW w:w="1131" w:type="dxa"/>
            <w:tcBorders>
              <w:top w:val="nil"/>
              <w:left w:val="nil"/>
              <w:bottom w:val="single" w:sz="4" w:space="0" w:color="auto"/>
              <w:right w:val="single" w:sz="4" w:space="0" w:color="auto"/>
            </w:tcBorders>
            <w:shd w:val="clear" w:color="auto" w:fill="auto"/>
            <w:vAlign w:val="center"/>
            <w:hideMark/>
          </w:tcPr>
          <w:p w14:paraId="597E675F"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2.181,69</w:t>
            </w:r>
          </w:p>
        </w:tc>
        <w:tc>
          <w:tcPr>
            <w:tcW w:w="1106" w:type="dxa"/>
            <w:tcBorders>
              <w:top w:val="nil"/>
              <w:left w:val="nil"/>
              <w:bottom w:val="single" w:sz="4" w:space="0" w:color="auto"/>
              <w:right w:val="single" w:sz="4" w:space="0" w:color="auto"/>
            </w:tcBorders>
            <w:shd w:val="clear" w:color="auto" w:fill="auto"/>
            <w:vAlign w:val="center"/>
            <w:hideMark/>
          </w:tcPr>
          <w:p w14:paraId="61508FBC"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28,32</w:t>
            </w:r>
          </w:p>
        </w:tc>
        <w:tc>
          <w:tcPr>
            <w:tcW w:w="1121" w:type="dxa"/>
            <w:tcBorders>
              <w:top w:val="nil"/>
              <w:left w:val="nil"/>
              <w:bottom w:val="single" w:sz="4" w:space="0" w:color="auto"/>
              <w:right w:val="single" w:sz="4" w:space="0" w:color="auto"/>
            </w:tcBorders>
            <w:shd w:val="clear" w:color="auto" w:fill="auto"/>
            <w:vAlign w:val="center"/>
            <w:hideMark/>
          </w:tcPr>
          <w:p w14:paraId="6AA71289"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61.785,46</w:t>
            </w:r>
          </w:p>
        </w:tc>
        <w:tc>
          <w:tcPr>
            <w:tcW w:w="146" w:type="dxa"/>
            <w:vAlign w:val="center"/>
            <w:hideMark/>
          </w:tcPr>
          <w:p w14:paraId="267EF98C"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r w:rsidR="00E220C4" w:rsidRPr="008403C5" w14:paraId="18662FB6" w14:textId="77777777" w:rsidTr="00D80563">
        <w:trPr>
          <w:trHeight w:val="1455"/>
        </w:trPr>
        <w:tc>
          <w:tcPr>
            <w:tcW w:w="591" w:type="dxa"/>
            <w:tcBorders>
              <w:top w:val="nil"/>
              <w:left w:val="single" w:sz="4" w:space="0" w:color="auto"/>
              <w:bottom w:val="single" w:sz="4" w:space="0" w:color="auto"/>
              <w:right w:val="single" w:sz="4" w:space="0" w:color="auto"/>
            </w:tcBorders>
            <w:shd w:val="clear" w:color="auto" w:fill="auto"/>
            <w:vAlign w:val="center"/>
            <w:hideMark/>
          </w:tcPr>
          <w:p w14:paraId="37FAA606"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1.4.2.</w:t>
            </w:r>
          </w:p>
        </w:tc>
        <w:tc>
          <w:tcPr>
            <w:tcW w:w="1141" w:type="dxa"/>
            <w:tcBorders>
              <w:top w:val="nil"/>
              <w:left w:val="nil"/>
              <w:bottom w:val="single" w:sz="4" w:space="0" w:color="auto"/>
              <w:right w:val="single" w:sz="4" w:space="0" w:color="auto"/>
            </w:tcBorders>
            <w:shd w:val="clear" w:color="auto" w:fill="auto"/>
            <w:vAlign w:val="center"/>
            <w:hideMark/>
          </w:tcPr>
          <w:p w14:paraId="25BFFB70"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SINAPI</w:t>
            </w:r>
          </w:p>
        </w:tc>
        <w:tc>
          <w:tcPr>
            <w:tcW w:w="760" w:type="dxa"/>
            <w:tcBorders>
              <w:top w:val="nil"/>
              <w:left w:val="nil"/>
              <w:bottom w:val="single" w:sz="4" w:space="0" w:color="auto"/>
              <w:right w:val="single" w:sz="4" w:space="0" w:color="auto"/>
            </w:tcBorders>
            <w:shd w:val="clear" w:color="auto" w:fill="auto"/>
            <w:vAlign w:val="center"/>
            <w:hideMark/>
          </w:tcPr>
          <w:p w14:paraId="511DC78F"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100984</w:t>
            </w:r>
          </w:p>
        </w:tc>
        <w:tc>
          <w:tcPr>
            <w:tcW w:w="2392" w:type="dxa"/>
            <w:tcBorders>
              <w:top w:val="nil"/>
              <w:left w:val="nil"/>
              <w:bottom w:val="single" w:sz="4" w:space="0" w:color="auto"/>
              <w:right w:val="single" w:sz="4" w:space="0" w:color="auto"/>
            </w:tcBorders>
            <w:shd w:val="clear" w:color="auto" w:fill="auto"/>
            <w:vAlign w:val="bottom"/>
            <w:hideMark/>
          </w:tcPr>
          <w:p w14:paraId="7E7DAAE9"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CARGA, MANOBRA E DESCARGA DE ENTULHO EM CAMINHÃO BASCULANTE 18 M³ - CARGA COM ESCAVADEIRA HIDRÁULICA (CAÇAMBA DE 0,80 M³ / 111 HP) E DESCARGA LIVRE (UNIDADE: M3). AF_07/2020</w:t>
            </w:r>
          </w:p>
        </w:tc>
        <w:tc>
          <w:tcPr>
            <w:tcW w:w="851" w:type="dxa"/>
            <w:tcBorders>
              <w:top w:val="nil"/>
              <w:left w:val="nil"/>
              <w:bottom w:val="single" w:sz="4" w:space="0" w:color="auto"/>
              <w:right w:val="single" w:sz="4" w:space="0" w:color="auto"/>
            </w:tcBorders>
            <w:shd w:val="clear" w:color="auto" w:fill="auto"/>
            <w:vAlign w:val="center"/>
            <w:hideMark/>
          </w:tcPr>
          <w:p w14:paraId="3612B76A"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M3</w:t>
            </w:r>
          </w:p>
        </w:tc>
        <w:tc>
          <w:tcPr>
            <w:tcW w:w="1131" w:type="dxa"/>
            <w:tcBorders>
              <w:top w:val="nil"/>
              <w:left w:val="nil"/>
              <w:bottom w:val="single" w:sz="4" w:space="0" w:color="auto"/>
              <w:right w:val="single" w:sz="4" w:space="0" w:color="auto"/>
            </w:tcBorders>
            <w:shd w:val="clear" w:color="auto" w:fill="auto"/>
            <w:vAlign w:val="center"/>
            <w:hideMark/>
          </w:tcPr>
          <w:p w14:paraId="07132046"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327,26</w:t>
            </w:r>
          </w:p>
        </w:tc>
        <w:tc>
          <w:tcPr>
            <w:tcW w:w="1106" w:type="dxa"/>
            <w:tcBorders>
              <w:top w:val="nil"/>
              <w:left w:val="nil"/>
              <w:bottom w:val="single" w:sz="4" w:space="0" w:color="auto"/>
              <w:right w:val="single" w:sz="4" w:space="0" w:color="auto"/>
            </w:tcBorders>
            <w:shd w:val="clear" w:color="auto" w:fill="auto"/>
            <w:vAlign w:val="center"/>
            <w:hideMark/>
          </w:tcPr>
          <w:p w14:paraId="03C9CAD7"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10,74</w:t>
            </w:r>
          </w:p>
        </w:tc>
        <w:tc>
          <w:tcPr>
            <w:tcW w:w="1121" w:type="dxa"/>
            <w:tcBorders>
              <w:top w:val="nil"/>
              <w:left w:val="nil"/>
              <w:bottom w:val="single" w:sz="4" w:space="0" w:color="auto"/>
              <w:right w:val="single" w:sz="4" w:space="0" w:color="auto"/>
            </w:tcBorders>
            <w:shd w:val="clear" w:color="auto" w:fill="auto"/>
            <w:vAlign w:val="center"/>
            <w:hideMark/>
          </w:tcPr>
          <w:p w14:paraId="6F77506D"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3.514,77</w:t>
            </w:r>
          </w:p>
        </w:tc>
        <w:tc>
          <w:tcPr>
            <w:tcW w:w="146" w:type="dxa"/>
            <w:vAlign w:val="center"/>
            <w:hideMark/>
          </w:tcPr>
          <w:p w14:paraId="4F5559E3"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r w:rsidR="00E220C4" w:rsidRPr="008403C5" w14:paraId="0856F272" w14:textId="77777777" w:rsidTr="00D80563">
        <w:trPr>
          <w:trHeight w:val="975"/>
        </w:trPr>
        <w:tc>
          <w:tcPr>
            <w:tcW w:w="591" w:type="dxa"/>
            <w:tcBorders>
              <w:top w:val="nil"/>
              <w:left w:val="single" w:sz="4" w:space="0" w:color="auto"/>
              <w:bottom w:val="single" w:sz="4" w:space="0" w:color="auto"/>
              <w:right w:val="single" w:sz="4" w:space="0" w:color="auto"/>
            </w:tcBorders>
            <w:shd w:val="clear" w:color="auto" w:fill="auto"/>
            <w:vAlign w:val="center"/>
            <w:hideMark/>
          </w:tcPr>
          <w:p w14:paraId="23410F38"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1.4.3.</w:t>
            </w:r>
          </w:p>
        </w:tc>
        <w:tc>
          <w:tcPr>
            <w:tcW w:w="1141" w:type="dxa"/>
            <w:tcBorders>
              <w:top w:val="nil"/>
              <w:left w:val="nil"/>
              <w:bottom w:val="single" w:sz="4" w:space="0" w:color="auto"/>
              <w:right w:val="single" w:sz="4" w:space="0" w:color="auto"/>
            </w:tcBorders>
            <w:shd w:val="clear" w:color="auto" w:fill="auto"/>
            <w:vAlign w:val="center"/>
            <w:hideMark/>
          </w:tcPr>
          <w:p w14:paraId="11F1905E"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SINAPI</w:t>
            </w:r>
          </w:p>
        </w:tc>
        <w:tc>
          <w:tcPr>
            <w:tcW w:w="760" w:type="dxa"/>
            <w:tcBorders>
              <w:top w:val="nil"/>
              <w:left w:val="nil"/>
              <w:bottom w:val="single" w:sz="4" w:space="0" w:color="auto"/>
              <w:right w:val="single" w:sz="4" w:space="0" w:color="auto"/>
            </w:tcBorders>
            <w:shd w:val="clear" w:color="auto" w:fill="auto"/>
            <w:vAlign w:val="center"/>
            <w:hideMark/>
          </w:tcPr>
          <w:p w14:paraId="7B3C2263"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95876</w:t>
            </w:r>
          </w:p>
        </w:tc>
        <w:tc>
          <w:tcPr>
            <w:tcW w:w="2392" w:type="dxa"/>
            <w:tcBorders>
              <w:top w:val="nil"/>
              <w:left w:val="nil"/>
              <w:bottom w:val="single" w:sz="4" w:space="0" w:color="auto"/>
              <w:right w:val="single" w:sz="4" w:space="0" w:color="auto"/>
            </w:tcBorders>
            <w:shd w:val="clear" w:color="auto" w:fill="auto"/>
            <w:vAlign w:val="bottom"/>
            <w:hideMark/>
          </w:tcPr>
          <w:p w14:paraId="4D0031AA"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TRANSPORTE COM CAMINHÃO BASCULANTE DE 14 M³, EM VIA URBANA PAVIMENTADA, DMT ATÉ 30 KM (UNIDADE: M3XKM). AF_07/2020</w:t>
            </w:r>
          </w:p>
        </w:tc>
        <w:tc>
          <w:tcPr>
            <w:tcW w:w="851" w:type="dxa"/>
            <w:tcBorders>
              <w:top w:val="nil"/>
              <w:left w:val="nil"/>
              <w:bottom w:val="single" w:sz="4" w:space="0" w:color="auto"/>
              <w:right w:val="single" w:sz="4" w:space="0" w:color="auto"/>
            </w:tcBorders>
            <w:shd w:val="clear" w:color="auto" w:fill="auto"/>
            <w:vAlign w:val="center"/>
            <w:hideMark/>
          </w:tcPr>
          <w:p w14:paraId="1B7E30C9"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M3XKM</w:t>
            </w:r>
          </w:p>
        </w:tc>
        <w:tc>
          <w:tcPr>
            <w:tcW w:w="1131" w:type="dxa"/>
            <w:tcBorders>
              <w:top w:val="nil"/>
              <w:left w:val="nil"/>
              <w:bottom w:val="single" w:sz="4" w:space="0" w:color="auto"/>
              <w:right w:val="single" w:sz="4" w:space="0" w:color="auto"/>
            </w:tcBorders>
            <w:shd w:val="clear" w:color="auto" w:fill="auto"/>
            <w:vAlign w:val="center"/>
            <w:hideMark/>
          </w:tcPr>
          <w:p w14:paraId="53224352"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4.540,65</w:t>
            </w:r>
          </w:p>
        </w:tc>
        <w:tc>
          <w:tcPr>
            <w:tcW w:w="1106" w:type="dxa"/>
            <w:tcBorders>
              <w:top w:val="nil"/>
              <w:left w:val="nil"/>
              <w:bottom w:val="single" w:sz="4" w:space="0" w:color="auto"/>
              <w:right w:val="single" w:sz="4" w:space="0" w:color="auto"/>
            </w:tcBorders>
            <w:shd w:val="clear" w:color="auto" w:fill="auto"/>
            <w:vAlign w:val="center"/>
            <w:hideMark/>
          </w:tcPr>
          <w:p w14:paraId="647D7262"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2,62</w:t>
            </w:r>
          </w:p>
        </w:tc>
        <w:tc>
          <w:tcPr>
            <w:tcW w:w="1121" w:type="dxa"/>
            <w:tcBorders>
              <w:top w:val="nil"/>
              <w:left w:val="nil"/>
              <w:bottom w:val="single" w:sz="4" w:space="0" w:color="auto"/>
              <w:right w:val="single" w:sz="4" w:space="0" w:color="auto"/>
            </w:tcBorders>
            <w:shd w:val="clear" w:color="auto" w:fill="auto"/>
            <w:vAlign w:val="center"/>
            <w:hideMark/>
          </w:tcPr>
          <w:p w14:paraId="3B9A1263"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11.896,50</w:t>
            </w:r>
          </w:p>
        </w:tc>
        <w:tc>
          <w:tcPr>
            <w:tcW w:w="146" w:type="dxa"/>
            <w:vAlign w:val="center"/>
            <w:hideMark/>
          </w:tcPr>
          <w:p w14:paraId="20C03250"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r w:rsidR="00E220C4" w:rsidRPr="008403C5" w14:paraId="68E63E49" w14:textId="77777777" w:rsidTr="00D80563">
        <w:trPr>
          <w:trHeight w:val="975"/>
        </w:trPr>
        <w:tc>
          <w:tcPr>
            <w:tcW w:w="591" w:type="dxa"/>
            <w:tcBorders>
              <w:top w:val="nil"/>
              <w:left w:val="single" w:sz="4" w:space="0" w:color="auto"/>
              <w:bottom w:val="single" w:sz="4" w:space="0" w:color="auto"/>
              <w:right w:val="single" w:sz="4" w:space="0" w:color="auto"/>
            </w:tcBorders>
            <w:shd w:val="clear" w:color="auto" w:fill="auto"/>
            <w:vAlign w:val="center"/>
            <w:hideMark/>
          </w:tcPr>
          <w:p w14:paraId="0A9FA88E"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1.4.4.</w:t>
            </w:r>
          </w:p>
        </w:tc>
        <w:tc>
          <w:tcPr>
            <w:tcW w:w="1141" w:type="dxa"/>
            <w:tcBorders>
              <w:top w:val="nil"/>
              <w:left w:val="nil"/>
              <w:bottom w:val="single" w:sz="4" w:space="0" w:color="auto"/>
              <w:right w:val="single" w:sz="4" w:space="0" w:color="auto"/>
            </w:tcBorders>
            <w:shd w:val="clear" w:color="auto" w:fill="auto"/>
            <w:vAlign w:val="center"/>
            <w:hideMark/>
          </w:tcPr>
          <w:p w14:paraId="2A11F859"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SINAPI</w:t>
            </w:r>
          </w:p>
        </w:tc>
        <w:tc>
          <w:tcPr>
            <w:tcW w:w="760" w:type="dxa"/>
            <w:tcBorders>
              <w:top w:val="nil"/>
              <w:left w:val="nil"/>
              <w:bottom w:val="single" w:sz="4" w:space="0" w:color="auto"/>
              <w:right w:val="single" w:sz="4" w:space="0" w:color="auto"/>
            </w:tcBorders>
            <w:shd w:val="clear" w:color="auto" w:fill="auto"/>
            <w:vAlign w:val="center"/>
            <w:hideMark/>
          </w:tcPr>
          <w:p w14:paraId="0E7140FB"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94287</w:t>
            </w:r>
          </w:p>
        </w:tc>
        <w:tc>
          <w:tcPr>
            <w:tcW w:w="2392" w:type="dxa"/>
            <w:tcBorders>
              <w:top w:val="nil"/>
              <w:left w:val="nil"/>
              <w:bottom w:val="single" w:sz="4" w:space="0" w:color="auto"/>
              <w:right w:val="single" w:sz="4" w:space="0" w:color="auto"/>
            </w:tcBorders>
            <w:shd w:val="clear" w:color="auto" w:fill="auto"/>
            <w:vAlign w:val="bottom"/>
            <w:hideMark/>
          </w:tcPr>
          <w:p w14:paraId="29D69E13"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EXECUÇÃO DE SARJETA DE CONCRETO USINADO, MOLDADA IN LOCO EM TRECHO RETO, 30 CM BASE X 10 CM ALTURA. AF_01/2024</w:t>
            </w:r>
          </w:p>
        </w:tc>
        <w:tc>
          <w:tcPr>
            <w:tcW w:w="851" w:type="dxa"/>
            <w:tcBorders>
              <w:top w:val="nil"/>
              <w:left w:val="nil"/>
              <w:bottom w:val="single" w:sz="4" w:space="0" w:color="auto"/>
              <w:right w:val="single" w:sz="4" w:space="0" w:color="auto"/>
            </w:tcBorders>
            <w:shd w:val="clear" w:color="auto" w:fill="auto"/>
            <w:vAlign w:val="center"/>
            <w:hideMark/>
          </w:tcPr>
          <w:p w14:paraId="297AFDEB"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M</w:t>
            </w:r>
          </w:p>
        </w:tc>
        <w:tc>
          <w:tcPr>
            <w:tcW w:w="1131" w:type="dxa"/>
            <w:tcBorders>
              <w:top w:val="nil"/>
              <w:left w:val="nil"/>
              <w:bottom w:val="single" w:sz="4" w:space="0" w:color="auto"/>
              <w:right w:val="single" w:sz="4" w:space="0" w:color="auto"/>
            </w:tcBorders>
            <w:shd w:val="clear" w:color="auto" w:fill="auto"/>
            <w:vAlign w:val="center"/>
            <w:hideMark/>
          </w:tcPr>
          <w:p w14:paraId="6E6BF0FE"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1.878,92</w:t>
            </w:r>
          </w:p>
        </w:tc>
        <w:tc>
          <w:tcPr>
            <w:tcW w:w="1106" w:type="dxa"/>
            <w:tcBorders>
              <w:top w:val="nil"/>
              <w:left w:val="nil"/>
              <w:bottom w:val="single" w:sz="4" w:space="0" w:color="auto"/>
              <w:right w:val="single" w:sz="4" w:space="0" w:color="auto"/>
            </w:tcBorders>
            <w:shd w:val="clear" w:color="auto" w:fill="auto"/>
            <w:vAlign w:val="center"/>
            <w:hideMark/>
          </w:tcPr>
          <w:p w14:paraId="3E092B32"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45,68</w:t>
            </w:r>
          </w:p>
        </w:tc>
        <w:tc>
          <w:tcPr>
            <w:tcW w:w="1121" w:type="dxa"/>
            <w:tcBorders>
              <w:top w:val="nil"/>
              <w:left w:val="nil"/>
              <w:bottom w:val="single" w:sz="4" w:space="0" w:color="auto"/>
              <w:right w:val="single" w:sz="4" w:space="0" w:color="auto"/>
            </w:tcBorders>
            <w:shd w:val="clear" w:color="auto" w:fill="auto"/>
            <w:vAlign w:val="center"/>
            <w:hideMark/>
          </w:tcPr>
          <w:p w14:paraId="00CAFECD"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85.829,07</w:t>
            </w:r>
          </w:p>
        </w:tc>
        <w:tc>
          <w:tcPr>
            <w:tcW w:w="146" w:type="dxa"/>
            <w:vAlign w:val="center"/>
            <w:hideMark/>
          </w:tcPr>
          <w:p w14:paraId="069DA597"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r w:rsidR="00E220C4" w:rsidRPr="008403C5" w14:paraId="5D2D2147" w14:textId="77777777" w:rsidTr="00D80563">
        <w:trPr>
          <w:trHeight w:val="975"/>
        </w:trPr>
        <w:tc>
          <w:tcPr>
            <w:tcW w:w="591" w:type="dxa"/>
            <w:tcBorders>
              <w:top w:val="nil"/>
              <w:left w:val="single" w:sz="4" w:space="0" w:color="auto"/>
              <w:bottom w:val="single" w:sz="4" w:space="0" w:color="auto"/>
              <w:right w:val="single" w:sz="4" w:space="0" w:color="auto"/>
            </w:tcBorders>
            <w:shd w:val="clear" w:color="auto" w:fill="auto"/>
            <w:vAlign w:val="center"/>
            <w:hideMark/>
          </w:tcPr>
          <w:p w14:paraId="63F07734"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1.4.5.</w:t>
            </w:r>
          </w:p>
        </w:tc>
        <w:tc>
          <w:tcPr>
            <w:tcW w:w="1141" w:type="dxa"/>
            <w:tcBorders>
              <w:top w:val="nil"/>
              <w:left w:val="nil"/>
              <w:bottom w:val="single" w:sz="4" w:space="0" w:color="auto"/>
              <w:right w:val="single" w:sz="4" w:space="0" w:color="auto"/>
            </w:tcBorders>
            <w:shd w:val="clear" w:color="auto" w:fill="auto"/>
            <w:vAlign w:val="center"/>
            <w:hideMark/>
          </w:tcPr>
          <w:p w14:paraId="1B19EA13"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SINAPI</w:t>
            </w:r>
          </w:p>
        </w:tc>
        <w:tc>
          <w:tcPr>
            <w:tcW w:w="760" w:type="dxa"/>
            <w:tcBorders>
              <w:top w:val="nil"/>
              <w:left w:val="nil"/>
              <w:bottom w:val="single" w:sz="4" w:space="0" w:color="auto"/>
              <w:right w:val="single" w:sz="4" w:space="0" w:color="auto"/>
            </w:tcBorders>
            <w:shd w:val="clear" w:color="auto" w:fill="auto"/>
            <w:vAlign w:val="center"/>
            <w:hideMark/>
          </w:tcPr>
          <w:p w14:paraId="4C3588C2"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94288</w:t>
            </w:r>
          </w:p>
        </w:tc>
        <w:tc>
          <w:tcPr>
            <w:tcW w:w="2392" w:type="dxa"/>
            <w:tcBorders>
              <w:top w:val="nil"/>
              <w:left w:val="nil"/>
              <w:bottom w:val="single" w:sz="4" w:space="0" w:color="auto"/>
              <w:right w:val="single" w:sz="4" w:space="0" w:color="auto"/>
            </w:tcBorders>
            <w:shd w:val="clear" w:color="auto" w:fill="auto"/>
            <w:vAlign w:val="bottom"/>
            <w:hideMark/>
          </w:tcPr>
          <w:p w14:paraId="3CCC5A9C"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EXECUÇÃO DE SARJETA DE CONCRETO USINADO, MOLDADA IN LOCO EM TRECHO CURVO, 30 CM BASE X 10 CM ALTURA. AF_01/2024</w:t>
            </w:r>
          </w:p>
        </w:tc>
        <w:tc>
          <w:tcPr>
            <w:tcW w:w="851" w:type="dxa"/>
            <w:tcBorders>
              <w:top w:val="nil"/>
              <w:left w:val="nil"/>
              <w:bottom w:val="single" w:sz="4" w:space="0" w:color="auto"/>
              <w:right w:val="single" w:sz="4" w:space="0" w:color="auto"/>
            </w:tcBorders>
            <w:shd w:val="clear" w:color="auto" w:fill="auto"/>
            <w:vAlign w:val="center"/>
            <w:hideMark/>
          </w:tcPr>
          <w:p w14:paraId="06BCEE3D"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M</w:t>
            </w:r>
          </w:p>
        </w:tc>
        <w:tc>
          <w:tcPr>
            <w:tcW w:w="1131" w:type="dxa"/>
            <w:tcBorders>
              <w:top w:val="nil"/>
              <w:left w:val="nil"/>
              <w:bottom w:val="single" w:sz="4" w:space="0" w:color="auto"/>
              <w:right w:val="single" w:sz="4" w:space="0" w:color="auto"/>
            </w:tcBorders>
            <w:shd w:val="clear" w:color="auto" w:fill="auto"/>
            <w:vAlign w:val="center"/>
            <w:hideMark/>
          </w:tcPr>
          <w:p w14:paraId="190C4C4A"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302,77</w:t>
            </w:r>
          </w:p>
        </w:tc>
        <w:tc>
          <w:tcPr>
            <w:tcW w:w="1106" w:type="dxa"/>
            <w:tcBorders>
              <w:top w:val="nil"/>
              <w:left w:val="nil"/>
              <w:bottom w:val="single" w:sz="4" w:space="0" w:color="auto"/>
              <w:right w:val="single" w:sz="4" w:space="0" w:color="auto"/>
            </w:tcBorders>
            <w:shd w:val="clear" w:color="auto" w:fill="auto"/>
            <w:vAlign w:val="center"/>
            <w:hideMark/>
          </w:tcPr>
          <w:p w14:paraId="07D77A38"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54,37</w:t>
            </w:r>
          </w:p>
        </w:tc>
        <w:tc>
          <w:tcPr>
            <w:tcW w:w="1121" w:type="dxa"/>
            <w:tcBorders>
              <w:top w:val="nil"/>
              <w:left w:val="nil"/>
              <w:bottom w:val="single" w:sz="4" w:space="0" w:color="auto"/>
              <w:right w:val="single" w:sz="4" w:space="0" w:color="auto"/>
            </w:tcBorders>
            <w:shd w:val="clear" w:color="auto" w:fill="auto"/>
            <w:vAlign w:val="center"/>
            <w:hideMark/>
          </w:tcPr>
          <w:p w14:paraId="707866D2"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16.461,60</w:t>
            </w:r>
          </w:p>
        </w:tc>
        <w:tc>
          <w:tcPr>
            <w:tcW w:w="146" w:type="dxa"/>
            <w:vAlign w:val="center"/>
            <w:hideMark/>
          </w:tcPr>
          <w:p w14:paraId="560D7422"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r w:rsidR="00E220C4" w:rsidRPr="008403C5" w14:paraId="3DF95CD8" w14:textId="77777777" w:rsidTr="00D80563">
        <w:trPr>
          <w:trHeight w:val="300"/>
        </w:trPr>
        <w:tc>
          <w:tcPr>
            <w:tcW w:w="591" w:type="dxa"/>
            <w:tcBorders>
              <w:top w:val="nil"/>
              <w:left w:val="single" w:sz="4" w:space="0" w:color="auto"/>
              <w:bottom w:val="single" w:sz="4" w:space="0" w:color="auto"/>
              <w:right w:val="single" w:sz="4" w:space="0" w:color="auto"/>
            </w:tcBorders>
            <w:shd w:val="clear" w:color="000000" w:fill="D9D9D9"/>
            <w:vAlign w:val="center"/>
            <w:hideMark/>
          </w:tcPr>
          <w:p w14:paraId="27629456"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1.5.</w:t>
            </w:r>
          </w:p>
        </w:tc>
        <w:tc>
          <w:tcPr>
            <w:tcW w:w="1141" w:type="dxa"/>
            <w:tcBorders>
              <w:top w:val="nil"/>
              <w:left w:val="nil"/>
              <w:bottom w:val="single" w:sz="4" w:space="0" w:color="auto"/>
              <w:right w:val="single" w:sz="4" w:space="0" w:color="auto"/>
            </w:tcBorders>
            <w:shd w:val="clear" w:color="000000" w:fill="D9D9D9"/>
            <w:vAlign w:val="center"/>
            <w:hideMark/>
          </w:tcPr>
          <w:p w14:paraId="0BE15E2B"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760" w:type="dxa"/>
            <w:tcBorders>
              <w:top w:val="nil"/>
              <w:left w:val="nil"/>
              <w:bottom w:val="single" w:sz="4" w:space="0" w:color="auto"/>
              <w:right w:val="single" w:sz="4" w:space="0" w:color="auto"/>
            </w:tcBorders>
            <w:shd w:val="clear" w:color="000000" w:fill="D9D9D9"/>
            <w:vAlign w:val="center"/>
            <w:hideMark/>
          </w:tcPr>
          <w:p w14:paraId="5FE65091"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2392" w:type="dxa"/>
            <w:tcBorders>
              <w:top w:val="nil"/>
              <w:left w:val="nil"/>
              <w:bottom w:val="single" w:sz="4" w:space="0" w:color="auto"/>
              <w:right w:val="single" w:sz="4" w:space="0" w:color="auto"/>
            </w:tcBorders>
            <w:shd w:val="clear" w:color="000000" w:fill="D9D9D9"/>
            <w:vAlign w:val="bottom"/>
            <w:hideMark/>
          </w:tcPr>
          <w:p w14:paraId="21ADA651"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SINALIZAÇÃO</w:t>
            </w:r>
          </w:p>
        </w:tc>
        <w:tc>
          <w:tcPr>
            <w:tcW w:w="851" w:type="dxa"/>
            <w:tcBorders>
              <w:top w:val="nil"/>
              <w:left w:val="nil"/>
              <w:bottom w:val="single" w:sz="4" w:space="0" w:color="auto"/>
              <w:right w:val="single" w:sz="4" w:space="0" w:color="auto"/>
            </w:tcBorders>
            <w:shd w:val="clear" w:color="000000" w:fill="D9D9D9"/>
            <w:vAlign w:val="center"/>
            <w:hideMark/>
          </w:tcPr>
          <w:p w14:paraId="1DD22A86"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1131" w:type="dxa"/>
            <w:tcBorders>
              <w:top w:val="nil"/>
              <w:left w:val="nil"/>
              <w:bottom w:val="single" w:sz="4" w:space="0" w:color="auto"/>
              <w:right w:val="single" w:sz="4" w:space="0" w:color="auto"/>
            </w:tcBorders>
            <w:shd w:val="clear" w:color="000000" w:fill="D9D9D9"/>
            <w:vAlign w:val="center"/>
            <w:hideMark/>
          </w:tcPr>
          <w:p w14:paraId="22B619E4"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1106" w:type="dxa"/>
            <w:tcBorders>
              <w:top w:val="nil"/>
              <w:left w:val="nil"/>
              <w:bottom w:val="single" w:sz="4" w:space="0" w:color="auto"/>
              <w:right w:val="single" w:sz="4" w:space="0" w:color="auto"/>
            </w:tcBorders>
            <w:shd w:val="clear" w:color="000000" w:fill="D9D9D9"/>
            <w:vAlign w:val="center"/>
            <w:hideMark/>
          </w:tcPr>
          <w:p w14:paraId="3F0C170C"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1121" w:type="dxa"/>
            <w:tcBorders>
              <w:top w:val="nil"/>
              <w:left w:val="nil"/>
              <w:bottom w:val="single" w:sz="4" w:space="0" w:color="auto"/>
              <w:right w:val="single" w:sz="4" w:space="0" w:color="auto"/>
            </w:tcBorders>
            <w:shd w:val="clear" w:color="000000" w:fill="D9D9D9"/>
            <w:vAlign w:val="center"/>
            <w:hideMark/>
          </w:tcPr>
          <w:p w14:paraId="4DDCEB52"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23.901,82</w:t>
            </w:r>
          </w:p>
        </w:tc>
        <w:tc>
          <w:tcPr>
            <w:tcW w:w="146" w:type="dxa"/>
            <w:vAlign w:val="center"/>
            <w:hideMark/>
          </w:tcPr>
          <w:p w14:paraId="2F3C78F7"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r w:rsidR="00E220C4" w:rsidRPr="008403C5" w14:paraId="7F73A098" w14:textId="77777777" w:rsidTr="00D80563">
        <w:trPr>
          <w:trHeight w:val="735"/>
        </w:trPr>
        <w:tc>
          <w:tcPr>
            <w:tcW w:w="591" w:type="dxa"/>
            <w:tcBorders>
              <w:top w:val="nil"/>
              <w:left w:val="single" w:sz="4" w:space="0" w:color="auto"/>
              <w:bottom w:val="single" w:sz="4" w:space="0" w:color="auto"/>
              <w:right w:val="single" w:sz="4" w:space="0" w:color="auto"/>
            </w:tcBorders>
            <w:shd w:val="clear" w:color="auto" w:fill="auto"/>
            <w:vAlign w:val="center"/>
            <w:hideMark/>
          </w:tcPr>
          <w:p w14:paraId="226B9E64"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lastRenderedPageBreak/>
              <w:t>1.5.1.</w:t>
            </w:r>
          </w:p>
        </w:tc>
        <w:tc>
          <w:tcPr>
            <w:tcW w:w="1141" w:type="dxa"/>
            <w:tcBorders>
              <w:top w:val="nil"/>
              <w:left w:val="nil"/>
              <w:bottom w:val="single" w:sz="4" w:space="0" w:color="auto"/>
              <w:right w:val="single" w:sz="4" w:space="0" w:color="auto"/>
            </w:tcBorders>
            <w:shd w:val="clear" w:color="auto" w:fill="auto"/>
            <w:vAlign w:val="center"/>
            <w:hideMark/>
          </w:tcPr>
          <w:p w14:paraId="15A82697"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Composição</w:t>
            </w:r>
          </w:p>
        </w:tc>
        <w:tc>
          <w:tcPr>
            <w:tcW w:w="760" w:type="dxa"/>
            <w:tcBorders>
              <w:top w:val="nil"/>
              <w:left w:val="nil"/>
              <w:bottom w:val="single" w:sz="4" w:space="0" w:color="auto"/>
              <w:right w:val="single" w:sz="4" w:space="0" w:color="auto"/>
            </w:tcBorders>
            <w:shd w:val="clear" w:color="auto" w:fill="auto"/>
            <w:vAlign w:val="center"/>
            <w:hideMark/>
          </w:tcPr>
          <w:p w14:paraId="6EDD3489"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005</w:t>
            </w:r>
          </w:p>
        </w:tc>
        <w:tc>
          <w:tcPr>
            <w:tcW w:w="2392" w:type="dxa"/>
            <w:tcBorders>
              <w:top w:val="nil"/>
              <w:left w:val="nil"/>
              <w:bottom w:val="single" w:sz="4" w:space="0" w:color="auto"/>
              <w:right w:val="single" w:sz="4" w:space="0" w:color="auto"/>
            </w:tcBorders>
            <w:shd w:val="clear" w:color="auto" w:fill="auto"/>
            <w:vAlign w:val="bottom"/>
            <w:hideMark/>
          </w:tcPr>
          <w:p w14:paraId="37356920"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SINALIZAÇÃO HORIZONTAL COM TINTA RETRORREFLETIVA A BASE DE RESINA ACRÍLICA COM MICROESFERAS DE VIDRO</w:t>
            </w:r>
          </w:p>
        </w:tc>
        <w:tc>
          <w:tcPr>
            <w:tcW w:w="851" w:type="dxa"/>
            <w:tcBorders>
              <w:top w:val="nil"/>
              <w:left w:val="nil"/>
              <w:bottom w:val="single" w:sz="4" w:space="0" w:color="auto"/>
              <w:right w:val="single" w:sz="4" w:space="0" w:color="auto"/>
            </w:tcBorders>
            <w:shd w:val="clear" w:color="auto" w:fill="auto"/>
            <w:vAlign w:val="center"/>
            <w:hideMark/>
          </w:tcPr>
          <w:p w14:paraId="170EC61F"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m²</w:t>
            </w:r>
          </w:p>
        </w:tc>
        <w:tc>
          <w:tcPr>
            <w:tcW w:w="1131" w:type="dxa"/>
            <w:tcBorders>
              <w:top w:val="nil"/>
              <w:left w:val="nil"/>
              <w:bottom w:val="single" w:sz="4" w:space="0" w:color="auto"/>
              <w:right w:val="single" w:sz="4" w:space="0" w:color="auto"/>
            </w:tcBorders>
            <w:shd w:val="clear" w:color="auto" w:fill="auto"/>
            <w:vAlign w:val="center"/>
            <w:hideMark/>
          </w:tcPr>
          <w:p w14:paraId="2CD35068"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332,68</w:t>
            </w:r>
          </w:p>
        </w:tc>
        <w:tc>
          <w:tcPr>
            <w:tcW w:w="1106" w:type="dxa"/>
            <w:tcBorders>
              <w:top w:val="nil"/>
              <w:left w:val="nil"/>
              <w:bottom w:val="single" w:sz="4" w:space="0" w:color="auto"/>
              <w:right w:val="single" w:sz="4" w:space="0" w:color="auto"/>
            </w:tcBorders>
            <w:shd w:val="clear" w:color="auto" w:fill="auto"/>
            <w:vAlign w:val="center"/>
            <w:hideMark/>
          </w:tcPr>
          <w:p w14:paraId="41C061A6"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36,91</w:t>
            </w:r>
          </w:p>
        </w:tc>
        <w:tc>
          <w:tcPr>
            <w:tcW w:w="1121" w:type="dxa"/>
            <w:tcBorders>
              <w:top w:val="nil"/>
              <w:left w:val="nil"/>
              <w:bottom w:val="single" w:sz="4" w:space="0" w:color="auto"/>
              <w:right w:val="single" w:sz="4" w:space="0" w:color="auto"/>
            </w:tcBorders>
            <w:shd w:val="clear" w:color="auto" w:fill="auto"/>
            <w:vAlign w:val="center"/>
            <w:hideMark/>
          </w:tcPr>
          <w:p w14:paraId="0C6EFC2B"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12.279,22</w:t>
            </w:r>
          </w:p>
        </w:tc>
        <w:tc>
          <w:tcPr>
            <w:tcW w:w="146" w:type="dxa"/>
            <w:vAlign w:val="center"/>
            <w:hideMark/>
          </w:tcPr>
          <w:p w14:paraId="18CCAF73"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r w:rsidR="00E220C4" w:rsidRPr="008403C5" w14:paraId="31D81FC8" w14:textId="77777777" w:rsidTr="00D80563">
        <w:trPr>
          <w:trHeight w:val="300"/>
        </w:trPr>
        <w:tc>
          <w:tcPr>
            <w:tcW w:w="591" w:type="dxa"/>
            <w:tcBorders>
              <w:top w:val="nil"/>
              <w:left w:val="single" w:sz="4" w:space="0" w:color="auto"/>
              <w:bottom w:val="single" w:sz="4" w:space="0" w:color="auto"/>
              <w:right w:val="single" w:sz="4" w:space="0" w:color="auto"/>
            </w:tcBorders>
            <w:shd w:val="clear" w:color="auto" w:fill="auto"/>
            <w:vAlign w:val="center"/>
            <w:hideMark/>
          </w:tcPr>
          <w:p w14:paraId="11E4F4E9"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1.5.2.</w:t>
            </w:r>
          </w:p>
        </w:tc>
        <w:tc>
          <w:tcPr>
            <w:tcW w:w="1141" w:type="dxa"/>
            <w:tcBorders>
              <w:top w:val="nil"/>
              <w:left w:val="nil"/>
              <w:bottom w:val="single" w:sz="4" w:space="0" w:color="auto"/>
              <w:right w:val="single" w:sz="4" w:space="0" w:color="auto"/>
            </w:tcBorders>
            <w:shd w:val="clear" w:color="auto" w:fill="auto"/>
            <w:vAlign w:val="center"/>
            <w:hideMark/>
          </w:tcPr>
          <w:p w14:paraId="179454B5"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Composição</w:t>
            </w:r>
          </w:p>
        </w:tc>
        <w:tc>
          <w:tcPr>
            <w:tcW w:w="760" w:type="dxa"/>
            <w:tcBorders>
              <w:top w:val="nil"/>
              <w:left w:val="nil"/>
              <w:bottom w:val="single" w:sz="4" w:space="0" w:color="auto"/>
              <w:right w:val="single" w:sz="4" w:space="0" w:color="auto"/>
            </w:tcBorders>
            <w:shd w:val="clear" w:color="auto" w:fill="auto"/>
            <w:vAlign w:val="center"/>
            <w:hideMark/>
          </w:tcPr>
          <w:p w14:paraId="308250DD"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006</w:t>
            </w:r>
          </w:p>
        </w:tc>
        <w:tc>
          <w:tcPr>
            <w:tcW w:w="2392" w:type="dxa"/>
            <w:tcBorders>
              <w:top w:val="nil"/>
              <w:left w:val="nil"/>
              <w:bottom w:val="single" w:sz="4" w:space="0" w:color="auto"/>
              <w:right w:val="single" w:sz="4" w:space="0" w:color="auto"/>
            </w:tcBorders>
            <w:shd w:val="clear" w:color="auto" w:fill="auto"/>
            <w:vAlign w:val="bottom"/>
            <w:hideMark/>
          </w:tcPr>
          <w:p w14:paraId="1264EF1A"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PLACA DE SINALIZAÇÃO VERTICAL</w:t>
            </w:r>
          </w:p>
        </w:tc>
        <w:tc>
          <w:tcPr>
            <w:tcW w:w="851" w:type="dxa"/>
            <w:tcBorders>
              <w:top w:val="nil"/>
              <w:left w:val="nil"/>
              <w:bottom w:val="single" w:sz="4" w:space="0" w:color="auto"/>
              <w:right w:val="single" w:sz="4" w:space="0" w:color="auto"/>
            </w:tcBorders>
            <w:shd w:val="clear" w:color="auto" w:fill="auto"/>
            <w:vAlign w:val="center"/>
            <w:hideMark/>
          </w:tcPr>
          <w:p w14:paraId="4535707E"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 xml:space="preserve">UND </w:t>
            </w:r>
          </w:p>
        </w:tc>
        <w:tc>
          <w:tcPr>
            <w:tcW w:w="1131" w:type="dxa"/>
            <w:tcBorders>
              <w:top w:val="nil"/>
              <w:left w:val="nil"/>
              <w:bottom w:val="single" w:sz="4" w:space="0" w:color="auto"/>
              <w:right w:val="single" w:sz="4" w:space="0" w:color="auto"/>
            </w:tcBorders>
            <w:shd w:val="clear" w:color="auto" w:fill="auto"/>
            <w:vAlign w:val="center"/>
            <w:hideMark/>
          </w:tcPr>
          <w:p w14:paraId="2E296685"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18,00</w:t>
            </w:r>
          </w:p>
        </w:tc>
        <w:tc>
          <w:tcPr>
            <w:tcW w:w="1106" w:type="dxa"/>
            <w:tcBorders>
              <w:top w:val="nil"/>
              <w:left w:val="nil"/>
              <w:bottom w:val="single" w:sz="4" w:space="0" w:color="auto"/>
              <w:right w:val="single" w:sz="4" w:space="0" w:color="auto"/>
            </w:tcBorders>
            <w:shd w:val="clear" w:color="auto" w:fill="auto"/>
            <w:vAlign w:val="center"/>
            <w:hideMark/>
          </w:tcPr>
          <w:p w14:paraId="054EC081"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645,70</w:t>
            </w:r>
          </w:p>
        </w:tc>
        <w:tc>
          <w:tcPr>
            <w:tcW w:w="1121" w:type="dxa"/>
            <w:tcBorders>
              <w:top w:val="nil"/>
              <w:left w:val="nil"/>
              <w:bottom w:val="single" w:sz="4" w:space="0" w:color="auto"/>
              <w:right w:val="single" w:sz="4" w:space="0" w:color="auto"/>
            </w:tcBorders>
            <w:shd w:val="clear" w:color="auto" w:fill="auto"/>
            <w:vAlign w:val="center"/>
            <w:hideMark/>
          </w:tcPr>
          <w:p w14:paraId="393BD394"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11.622,60</w:t>
            </w:r>
          </w:p>
        </w:tc>
        <w:tc>
          <w:tcPr>
            <w:tcW w:w="146" w:type="dxa"/>
            <w:vAlign w:val="center"/>
            <w:hideMark/>
          </w:tcPr>
          <w:p w14:paraId="4730AFE1"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r w:rsidR="00E220C4" w:rsidRPr="008403C5" w14:paraId="7872CA0D" w14:textId="77777777" w:rsidTr="00D80563">
        <w:trPr>
          <w:trHeight w:val="300"/>
        </w:trPr>
        <w:tc>
          <w:tcPr>
            <w:tcW w:w="591" w:type="dxa"/>
            <w:tcBorders>
              <w:top w:val="nil"/>
              <w:left w:val="single" w:sz="4" w:space="0" w:color="auto"/>
              <w:bottom w:val="single" w:sz="4" w:space="0" w:color="auto"/>
              <w:right w:val="single" w:sz="4" w:space="0" w:color="auto"/>
            </w:tcBorders>
            <w:shd w:val="clear" w:color="000000" w:fill="D9D9D9"/>
            <w:vAlign w:val="center"/>
            <w:hideMark/>
          </w:tcPr>
          <w:p w14:paraId="4B481BB7"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1.6.</w:t>
            </w:r>
          </w:p>
        </w:tc>
        <w:tc>
          <w:tcPr>
            <w:tcW w:w="1141" w:type="dxa"/>
            <w:tcBorders>
              <w:top w:val="nil"/>
              <w:left w:val="nil"/>
              <w:bottom w:val="single" w:sz="4" w:space="0" w:color="auto"/>
              <w:right w:val="single" w:sz="4" w:space="0" w:color="auto"/>
            </w:tcBorders>
            <w:shd w:val="clear" w:color="000000" w:fill="D9D9D9"/>
            <w:vAlign w:val="center"/>
            <w:hideMark/>
          </w:tcPr>
          <w:p w14:paraId="285C1014"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760" w:type="dxa"/>
            <w:tcBorders>
              <w:top w:val="nil"/>
              <w:left w:val="nil"/>
              <w:bottom w:val="single" w:sz="4" w:space="0" w:color="auto"/>
              <w:right w:val="single" w:sz="4" w:space="0" w:color="auto"/>
            </w:tcBorders>
            <w:shd w:val="clear" w:color="000000" w:fill="D9D9D9"/>
            <w:vAlign w:val="center"/>
            <w:hideMark/>
          </w:tcPr>
          <w:p w14:paraId="6EE18583"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2392" w:type="dxa"/>
            <w:tcBorders>
              <w:top w:val="nil"/>
              <w:left w:val="nil"/>
              <w:bottom w:val="single" w:sz="4" w:space="0" w:color="auto"/>
              <w:right w:val="single" w:sz="4" w:space="0" w:color="auto"/>
            </w:tcBorders>
            <w:shd w:val="clear" w:color="000000" w:fill="D9D9D9"/>
            <w:vAlign w:val="bottom"/>
            <w:hideMark/>
          </w:tcPr>
          <w:p w14:paraId="5CCBDFE9"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DESMOBILIZAÇÃO</w:t>
            </w:r>
          </w:p>
        </w:tc>
        <w:tc>
          <w:tcPr>
            <w:tcW w:w="851" w:type="dxa"/>
            <w:tcBorders>
              <w:top w:val="nil"/>
              <w:left w:val="nil"/>
              <w:bottom w:val="single" w:sz="4" w:space="0" w:color="auto"/>
              <w:right w:val="single" w:sz="4" w:space="0" w:color="auto"/>
            </w:tcBorders>
            <w:shd w:val="clear" w:color="000000" w:fill="D9D9D9"/>
            <w:vAlign w:val="center"/>
            <w:hideMark/>
          </w:tcPr>
          <w:p w14:paraId="1459C816"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1131" w:type="dxa"/>
            <w:tcBorders>
              <w:top w:val="nil"/>
              <w:left w:val="nil"/>
              <w:bottom w:val="single" w:sz="4" w:space="0" w:color="auto"/>
              <w:right w:val="single" w:sz="4" w:space="0" w:color="auto"/>
            </w:tcBorders>
            <w:shd w:val="clear" w:color="000000" w:fill="D9D9D9"/>
            <w:vAlign w:val="center"/>
            <w:hideMark/>
          </w:tcPr>
          <w:p w14:paraId="535DB0AF"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1106" w:type="dxa"/>
            <w:tcBorders>
              <w:top w:val="nil"/>
              <w:left w:val="nil"/>
              <w:bottom w:val="single" w:sz="4" w:space="0" w:color="auto"/>
              <w:right w:val="single" w:sz="4" w:space="0" w:color="auto"/>
            </w:tcBorders>
            <w:shd w:val="clear" w:color="000000" w:fill="D9D9D9"/>
            <w:vAlign w:val="center"/>
            <w:hideMark/>
          </w:tcPr>
          <w:p w14:paraId="4C50085C"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 </w:t>
            </w:r>
          </w:p>
        </w:tc>
        <w:tc>
          <w:tcPr>
            <w:tcW w:w="1121" w:type="dxa"/>
            <w:tcBorders>
              <w:top w:val="nil"/>
              <w:left w:val="nil"/>
              <w:bottom w:val="single" w:sz="4" w:space="0" w:color="auto"/>
              <w:right w:val="single" w:sz="4" w:space="0" w:color="auto"/>
            </w:tcBorders>
            <w:shd w:val="clear" w:color="000000" w:fill="D9D9D9"/>
            <w:vAlign w:val="center"/>
            <w:hideMark/>
          </w:tcPr>
          <w:p w14:paraId="355D82A5"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b/>
                <w:bCs/>
                <w:color w:val="000000"/>
                <w:kern w:val="0"/>
                <w:sz w:val="18"/>
                <w:szCs w:val="18"/>
                <w:lang w:eastAsia="pt-BR"/>
                <w14:ligatures w14:val="none"/>
              </w:rPr>
            </w:pPr>
            <w:r w:rsidRPr="008403C5">
              <w:rPr>
                <w:rFonts w:ascii="Times New Roman" w:eastAsia="Times New Roman" w:hAnsi="Times New Roman" w:cs="Times New Roman"/>
                <w:b/>
                <w:bCs/>
                <w:color w:val="000000"/>
                <w:kern w:val="0"/>
                <w:sz w:val="18"/>
                <w:szCs w:val="18"/>
                <w:lang w:eastAsia="pt-BR"/>
                <w14:ligatures w14:val="none"/>
              </w:rPr>
              <w:t>3.669,81</w:t>
            </w:r>
          </w:p>
        </w:tc>
        <w:tc>
          <w:tcPr>
            <w:tcW w:w="146" w:type="dxa"/>
            <w:vAlign w:val="center"/>
            <w:hideMark/>
          </w:tcPr>
          <w:p w14:paraId="5F69C9E2"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r w:rsidR="00E220C4" w:rsidRPr="008403C5" w14:paraId="079A4AB6" w14:textId="77777777" w:rsidTr="00D80563">
        <w:trPr>
          <w:trHeight w:val="300"/>
        </w:trPr>
        <w:tc>
          <w:tcPr>
            <w:tcW w:w="591" w:type="dxa"/>
            <w:tcBorders>
              <w:top w:val="nil"/>
              <w:left w:val="single" w:sz="4" w:space="0" w:color="auto"/>
              <w:bottom w:val="single" w:sz="4" w:space="0" w:color="auto"/>
              <w:right w:val="single" w:sz="4" w:space="0" w:color="auto"/>
            </w:tcBorders>
            <w:shd w:val="clear" w:color="auto" w:fill="auto"/>
            <w:vAlign w:val="center"/>
            <w:hideMark/>
          </w:tcPr>
          <w:p w14:paraId="66BE4497"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1.6.1.</w:t>
            </w:r>
          </w:p>
        </w:tc>
        <w:tc>
          <w:tcPr>
            <w:tcW w:w="1141" w:type="dxa"/>
            <w:tcBorders>
              <w:top w:val="nil"/>
              <w:left w:val="nil"/>
              <w:bottom w:val="single" w:sz="4" w:space="0" w:color="auto"/>
              <w:right w:val="single" w:sz="4" w:space="0" w:color="auto"/>
            </w:tcBorders>
            <w:shd w:val="clear" w:color="auto" w:fill="auto"/>
            <w:vAlign w:val="center"/>
            <w:hideMark/>
          </w:tcPr>
          <w:p w14:paraId="2C5A360A"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Composição</w:t>
            </w:r>
          </w:p>
        </w:tc>
        <w:tc>
          <w:tcPr>
            <w:tcW w:w="760" w:type="dxa"/>
            <w:tcBorders>
              <w:top w:val="nil"/>
              <w:left w:val="nil"/>
              <w:bottom w:val="single" w:sz="4" w:space="0" w:color="auto"/>
              <w:right w:val="single" w:sz="4" w:space="0" w:color="auto"/>
            </w:tcBorders>
            <w:shd w:val="clear" w:color="auto" w:fill="auto"/>
            <w:vAlign w:val="center"/>
            <w:hideMark/>
          </w:tcPr>
          <w:p w14:paraId="1BD7E7AA"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007</w:t>
            </w:r>
          </w:p>
        </w:tc>
        <w:tc>
          <w:tcPr>
            <w:tcW w:w="2392" w:type="dxa"/>
            <w:tcBorders>
              <w:top w:val="nil"/>
              <w:left w:val="nil"/>
              <w:bottom w:val="single" w:sz="4" w:space="0" w:color="auto"/>
              <w:right w:val="single" w:sz="4" w:space="0" w:color="auto"/>
            </w:tcBorders>
            <w:shd w:val="clear" w:color="auto" w:fill="auto"/>
            <w:vAlign w:val="bottom"/>
            <w:hideMark/>
          </w:tcPr>
          <w:p w14:paraId="44DF29EB"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DESMOBILIZAÇÃO</w:t>
            </w:r>
          </w:p>
        </w:tc>
        <w:tc>
          <w:tcPr>
            <w:tcW w:w="851" w:type="dxa"/>
            <w:tcBorders>
              <w:top w:val="nil"/>
              <w:left w:val="nil"/>
              <w:bottom w:val="single" w:sz="4" w:space="0" w:color="auto"/>
              <w:right w:val="single" w:sz="4" w:space="0" w:color="auto"/>
            </w:tcBorders>
            <w:shd w:val="clear" w:color="auto" w:fill="auto"/>
            <w:vAlign w:val="center"/>
            <w:hideMark/>
          </w:tcPr>
          <w:p w14:paraId="4057E8F3"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 xml:space="preserve">UND </w:t>
            </w:r>
          </w:p>
        </w:tc>
        <w:tc>
          <w:tcPr>
            <w:tcW w:w="1131" w:type="dxa"/>
            <w:tcBorders>
              <w:top w:val="nil"/>
              <w:left w:val="nil"/>
              <w:bottom w:val="single" w:sz="4" w:space="0" w:color="auto"/>
              <w:right w:val="single" w:sz="4" w:space="0" w:color="auto"/>
            </w:tcBorders>
            <w:shd w:val="clear" w:color="auto" w:fill="auto"/>
            <w:vAlign w:val="center"/>
            <w:hideMark/>
          </w:tcPr>
          <w:p w14:paraId="07907E2F"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1,00</w:t>
            </w:r>
          </w:p>
        </w:tc>
        <w:tc>
          <w:tcPr>
            <w:tcW w:w="1106" w:type="dxa"/>
            <w:tcBorders>
              <w:top w:val="nil"/>
              <w:left w:val="nil"/>
              <w:bottom w:val="single" w:sz="4" w:space="0" w:color="auto"/>
              <w:right w:val="single" w:sz="4" w:space="0" w:color="auto"/>
            </w:tcBorders>
            <w:shd w:val="clear" w:color="auto" w:fill="auto"/>
            <w:vAlign w:val="center"/>
            <w:hideMark/>
          </w:tcPr>
          <w:p w14:paraId="4D4584A0"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3.669,81</w:t>
            </w:r>
          </w:p>
        </w:tc>
        <w:tc>
          <w:tcPr>
            <w:tcW w:w="1121" w:type="dxa"/>
            <w:tcBorders>
              <w:top w:val="nil"/>
              <w:left w:val="nil"/>
              <w:bottom w:val="single" w:sz="4" w:space="0" w:color="auto"/>
              <w:right w:val="single" w:sz="4" w:space="0" w:color="auto"/>
            </w:tcBorders>
            <w:shd w:val="clear" w:color="auto" w:fill="auto"/>
            <w:vAlign w:val="center"/>
            <w:hideMark/>
          </w:tcPr>
          <w:p w14:paraId="7EFDC6C3" w14:textId="77777777" w:rsidR="00E220C4" w:rsidRPr="008403C5" w:rsidRDefault="00E220C4" w:rsidP="00E220C4">
            <w:pPr>
              <w:spacing w:before="0" w:after="0" w:line="240" w:lineRule="auto"/>
              <w:contextualSpacing w:val="0"/>
              <w:jc w:val="center"/>
              <w:rPr>
                <w:rFonts w:ascii="Times New Roman" w:eastAsia="Times New Roman" w:hAnsi="Times New Roman" w:cs="Times New Roman"/>
                <w:color w:val="000000"/>
                <w:kern w:val="0"/>
                <w:sz w:val="18"/>
                <w:szCs w:val="18"/>
                <w:lang w:eastAsia="pt-BR"/>
                <w14:ligatures w14:val="none"/>
              </w:rPr>
            </w:pPr>
            <w:r w:rsidRPr="008403C5">
              <w:rPr>
                <w:rFonts w:ascii="Times New Roman" w:eastAsia="Times New Roman" w:hAnsi="Times New Roman" w:cs="Times New Roman"/>
                <w:color w:val="000000"/>
                <w:kern w:val="0"/>
                <w:sz w:val="18"/>
                <w:szCs w:val="18"/>
                <w:lang w:eastAsia="pt-BR"/>
                <w14:ligatures w14:val="none"/>
              </w:rPr>
              <w:t>3.669,81</w:t>
            </w:r>
          </w:p>
        </w:tc>
        <w:tc>
          <w:tcPr>
            <w:tcW w:w="146" w:type="dxa"/>
            <w:vAlign w:val="center"/>
            <w:hideMark/>
          </w:tcPr>
          <w:p w14:paraId="68BF2278" w14:textId="77777777" w:rsidR="00E220C4" w:rsidRPr="008403C5" w:rsidRDefault="00E220C4" w:rsidP="00E220C4">
            <w:pPr>
              <w:spacing w:before="0" w:after="0" w:line="240" w:lineRule="auto"/>
              <w:contextualSpacing w:val="0"/>
              <w:jc w:val="left"/>
              <w:rPr>
                <w:rFonts w:ascii="Times New Roman" w:eastAsia="Times New Roman" w:hAnsi="Times New Roman" w:cs="Times New Roman"/>
                <w:kern w:val="0"/>
                <w:sz w:val="20"/>
                <w:szCs w:val="20"/>
                <w:lang w:eastAsia="pt-BR"/>
                <w14:ligatures w14:val="none"/>
              </w:rPr>
            </w:pPr>
          </w:p>
        </w:tc>
      </w:tr>
    </w:tbl>
    <w:p w14:paraId="4C187F39" w14:textId="35E368E4" w:rsidR="000E6D69" w:rsidRPr="008403C5" w:rsidRDefault="000E6D69" w:rsidP="003700A5">
      <w:pPr>
        <w:ind w:right="-1"/>
        <w:rPr>
          <w:rFonts w:ascii="Times New Roman" w:hAnsi="Times New Roman" w:cs="Times New Roman"/>
        </w:rPr>
      </w:pPr>
    </w:p>
    <w:p w14:paraId="0EDA507E" w14:textId="77777777" w:rsidR="008664CD" w:rsidRPr="008403C5" w:rsidRDefault="008664CD" w:rsidP="004062B4">
      <w:pPr>
        <w:ind w:left="284" w:right="-1" w:hanging="284"/>
        <w:rPr>
          <w:rFonts w:ascii="Times New Roman" w:hAnsi="Times New Roman" w:cs="Times New Roman"/>
        </w:rPr>
      </w:pPr>
      <w:r w:rsidRPr="008403C5">
        <w:rPr>
          <w:rFonts w:ascii="Times New Roman" w:hAnsi="Times New Roman" w:cs="Times New Roman"/>
        </w:rPr>
        <w:t>1.2.</w:t>
      </w:r>
      <w:r w:rsidRPr="008403C5">
        <w:rPr>
          <w:rFonts w:ascii="Times New Roman" w:hAnsi="Times New Roman" w:cs="Times New Roman"/>
        </w:rPr>
        <w:tab/>
        <w:t>Os serviços objeto desta contratação são considerados como comuns, conforme justificativa constante do Estudo Técnico Preliminar.</w:t>
      </w:r>
    </w:p>
    <w:p w14:paraId="0F09B12E" w14:textId="1B7B6E9C" w:rsidR="004008E9" w:rsidRPr="008403C5" w:rsidRDefault="008664CD" w:rsidP="004062B4">
      <w:pPr>
        <w:ind w:left="284" w:right="-1" w:hanging="284"/>
        <w:rPr>
          <w:rFonts w:ascii="Times New Roman" w:hAnsi="Times New Roman" w:cs="Times New Roman"/>
        </w:rPr>
      </w:pPr>
      <w:r w:rsidRPr="008403C5">
        <w:rPr>
          <w:rFonts w:ascii="Times New Roman" w:hAnsi="Times New Roman" w:cs="Times New Roman"/>
        </w:rPr>
        <w:t>1.3.</w:t>
      </w:r>
      <w:r w:rsidRPr="008403C5">
        <w:rPr>
          <w:rFonts w:ascii="Times New Roman" w:hAnsi="Times New Roman" w:cs="Times New Roman"/>
        </w:rPr>
        <w:tab/>
        <w:t>O objeto desta contratação não se enquadra como bem de luxo, nos termos do artigo 38 do Decreto Municipal nº 035/2025.</w:t>
      </w:r>
    </w:p>
    <w:p w14:paraId="5DE67463" w14:textId="2CF35583" w:rsidR="004008E9" w:rsidRPr="008403C5" w:rsidRDefault="004008E9" w:rsidP="004062B4">
      <w:pPr>
        <w:ind w:left="284" w:right="-1" w:hanging="284"/>
        <w:rPr>
          <w:rFonts w:ascii="Times New Roman" w:hAnsi="Times New Roman" w:cs="Times New Roman"/>
        </w:rPr>
      </w:pPr>
      <w:r w:rsidRPr="008403C5">
        <w:rPr>
          <w:rFonts w:ascii="Times New Roman" w:hAnsi="Times New Roman" w:cs="Times New Roman"/>
        </w:rPr>
        <w:t>1.4.</w:t>
      </w:r>
      <w:r w:rsidRPr="008403C5">
        <w:rPr>
          <w:rFonts w:ascii="Times New Roman" w:hAnsi="Times New Roman" w:cs="Times New Roman"/>
        </w:rPr>
        <w:tab/>
      </w:r>
      <w:bookmarkStart w:id="1" w:name="_Hlk207264721"/>
      <w:r w:rsidRPr="008403C5">
        <w:rPr>
          <w:rFonts w:ascii="Times New Roman" w:hAnsi="Times New Roman" w:cs="Times New Roman"/>
        </w:rPr>
        <w:t xml:space="preserve">O prazo de vigência da contratação é de </w:t>
      </w:r>
      <w:r w:rsidR="003E66BE" w:rsidRPr="008403C5">
        <w:rPr>
          <w:rFonts w:ascii="Times New Roman" w:hAnsi="Times New Roman" w:cs="Times New Roman"/>
        </w:rPr>
        <w:t>360</w:t>
      </w:r>
      <w:r w:rsidRPr="008403C5">
        <w:rPr>
          <w:rFonts w:ascii="Times New Roman" w:hAnsi="Times New Roman" w:cs="Times New Roman"/>
        </w:rPr>
        <w:t xml:space="preserve"> dias contados da data da assinatura do contrato, prorrogável na forma dos artigos 106 e 107 da Lei n° 14.133, de 2021.</w:t>
      </w:r>
      <w:bookmarkEnd w:id="1"/>
    </w:p>
    <w:p w14:paraId="016A0DAE" w14:textId="62465B27" w:rsidR="000103E2" w:rsidRPr="008403C5" w:rsidRDefault="004008E9" w:rsidP="004062B4">
      <w:pPr>
        <w:ind w:left="284" w:right="-1" w:hanging="284"/>
        <w:rPr>
          <w:rFonts w:ascii="Times New Roman" w:hAnsi="Times New Roman" w:cs="Times New Roman"/>
        </w:rPr>
      </w:pPr>
      <w:r w:rsidRPr="008403C5">
        <w:rPr>
          <w:rFonts w:ascii="Times New Roman" w:hAnsi="Times New Roman" w:cs="Times New Roman"/>
        </w:rPr>
        <w:t>1.5.</w:t>
      </w:r>
      <w:r w:rsidRPr="008403C5">
        <w:rPr>
          <w:rFonts w:ascii="Times New Roman" w:hAnsi="Times New Roman" w:cs="Times New Roman"/>
        </w:rPr>
        <w:tab/>
        <w:t>O contrato ou outro instrumento hábil que o substitua oferece maior detalhamento das regras que serão aplicadas em relação à vigência da contratação.</w:t>
      </w:r>
    </w:p>
    <w:p w14:paraId="4023DB15" w14:textId="77777777" w:rsidR="008664CD" w:rsidRPr="008403C5" w:rsidRDefault="008664CD" w:rsidP="004062B4">
      <w:pPr>
        <w:ind w:left="284" w:right="-1" w:hanging="284"/>
        <w:rPr>
          <w:rFonts w:ascii="Times New Roman" w:hAnsi="Times New Roman" w:cs="Times New Roman"/>
        </w:rPr>
      </w:pPr>
    </w:p>
    <w:p w14:paraId="5583E8D7" w14:textId="3A988E65" w:rsidR="000103E2" w:rsidRPr="008403C5" w:rsidRDefault="000103E2" w:rsidP="004062B4">
      <w:pPr>
        <w:ind w:left="284" w:right="-1" w:hanging="284"/>
        <w:rPr>
          <w:rFonts w:ascii="Times New Roman" w:hAnsi="Times New Roman" w:cs="Times New Roman"/>
          <w:b/>
          <w:bCs/>
        </w:rPr>
      </w:pPr>
      <w:r w:rsidRPr="008403C5">
        <w:rPr>
          <w:rFonts w:ascii="Times New Roman" w:hAnsi="Times New Roman" w:cs="Times New Roman"/>
          <w:b/>
          <w:bCs/>
        </w:rPr>
        <w:t>2.</w:t>
      </w:r>
      <w:r w:rsidRPr="008403C5">
        <w:rPr>
          <w:rFonts w:ascii="Times New Roman" w:hAnsi="Times New Roman" w:cs="Times New Roman"/>
          <w:b/>
          <w:bCs/>
        </w:rPr>
        <w:tab/>
        <w:t>FUNDAMENTAÇÃO E DESCRIÇÃO DA NECESSIDADE DA CONTRATAÇÃO</w:t>
      </w:r>
    </w:p>
    <w:p w14:paraId="45A811EF" w14:textId="77777777" w:rsidR="008664CD" w:rsidRPr="008403C5" w:rsidRDefault="008664CD" w:rsidP="004062B4">
      <w:pPr>
        <w:ind w:left="284" w:right="-1" w:hanging="284"/>
        <w:rPr>
          <w:rFonts w:ascii="Times New Roman" w:hAnsi="Times New Roman" w:cs="Times New Roman"/>
        </w:rPr>
      </w:pPr>
      <w:r w:rsidRPr="008403C5">
        <w:rPr>
          <w:rFonts w:ascii="Times New Roman" w:hAnsi="Times New Roman" w:cs="Times New Roman"/>
        </w:rPr>
        <w:t>2.1.</w:t>
      </w:r>
      <w:r w:rsidRPr="008403C5">
        <w:rPr>
          <w:rFonts w:ascii="Times New Roman" w:hAnsi="Times New Roman" w:cs="Times New Roman"/>
        </w:rPr>
        <w:tab/>
        <w:t>A Fundamentação da Contratação e de seus quantitativos encontra-se pormenorizada em tópico específico dos Estudos Técnicos Preliminares, apêndice deste Termo de Referência.</w:t>
      </w:r>
    </w:p>
    <w:p w14:paraId="1F4230A2" w14:textId="30331611" w:rsidR="008664CD" w:rsidRPr="008403C5" w:rsidRDefault="008664CD" w:rsidP="004062B4">
      <w:pPr>
        <w:ind w:left="284" w:right="-1" w:hanging="284"/>
        <w:rPr>
          <w:rFonts w:ascii="Times New Roman" w:hAnsi="Times New Roman" w:cs="Times New Roman"/>
        </w:rPr>
      </w:pPr>
      <w:r w:rsidRPr="008403C5">
        <w:rPr>
          <w:rFonts w:ascii="Times New Roman" w:hAnsi="Times New Roman" w:cs="Times New Roman"/>
        </w:rPr>
        <w:t>2.2.</w:t>
      </w:r>
      <w:r w:rsidRPr="008403C5">
        <w:rPr>
          <w:rFonts w:ascii="Times New Roman" w:hAnsi="Times New Roman" w:cs="Times New Roman"/>
        </w:rPr>
        <w:tab/>
        <w:t>A presente contratação não consta do PCA 202</w:t>
      </w:r>
      <w:r w:rsidR="003700A5" w:rsidRPr="008403C5">
        <w:rPr>
          <w:rFonts w:ascii="Times New Roman" w:hAnsi="Times New Roman" w:cs="Times New Roman"/>
        </w:rPr>
        <w:t>6.</w:t>
      </w:r>
    </w:p>
    <w:p w14:paraId="036CB882" w14:textId="7CEF08CC" w:rsidR="000103E2" w:rsidRPr="008403C5" w:rsidRDefault="000103E2" w:rsidP="004062B4">
      <w:pPr>
        <w:ind w:left="284" w:right="-1" w:hanging="284"/>
        <w:rPr>
          <w:rFonts w:ascii="Times New Roman" w:hAnsi="Times New Roman" w:cs="Times New Roman"/>
          <w:highlight w:val="yellow"/>
        </w:rPr>
      </w:pPr>
    </w:p>
    <w:p w14:paraId="27081E24" w14:textId="77777777" w:rsidR="000103E2" w:rsidRPr="008403C5" w:rsidRDefault="000103E2" w:rsidP="004062B4">
      <w:pPr>
        <w:ind w:left="284" w:right="-1" w:hanging="284"/>
        <w:rPr>
          <w:rFonts w:ascii="Times New Roman" w:hAnsi="Times New Roman" w:cs="Times New Roman"/>
          <w:b/>
          <w:bCs/>
        </w:rPr>
      </w:pPr>
      <w:r w:rsidRPr="008403C5">
        <w:rPr>
          <w:rFonts w:ascii="Times New Roman" w:hAnsi="Times New Roman" w:cs="Times New Roman"/>
          <w:b/>
          <w:bCs/>
        </w:rPr>
        <w:t>3.</w:t>
      </w:r>
      <w:r w:rsidRPr="008403C5">
        <w:rPr>
          <w:rFonts w:ascii="Times New Roman" w:hAnsi="Times New Roman" w:cs="Times New Roman"/>
          <w:b/>
          <w:bCs/>
        </w:rPr>
        <w:tab/>
        <w:t>DESCRIÇÃO DA SOLUÇÃO COMO UM TODO CONSIDERADO O CICLO DE VIDA DO OBJETO</w:t>
      </w:r>
    </w:p>
    <w:p w14:paraId="79317570" w14:textId="01F2F8EC" w:rsidR="000103E2" w:rsidRPr="008403C5" w:rsidRDefault="000103E2" w:rsidP="004062B4">
      <w:pPr>
        <w:ind w:left="284" w:right="-1" w:hanging="284"/>
        <w:rPr>
          <w:rFonts w:ascii="Times New Roman" w:hAnsi="Times New Roman" w:cs="Times New Roman"/>
        </w:rPr>
      </w:pPr>
      <w:r w:rsidRPr="008403C5">
        <w:rPr>
          <w:rFonts w:ascii="Times New Roman" w:hAnsi="Times New Roman" w:cs="Times New Roman"/>
        </w:rPr>
        <w:t>3.1.</w:t>
      </w:r>
      <w:r w:rsidRPr="008403C5">
        <w:rPr>
          <w:rFonts w:ascii="Times New Roman" w:hAnsi="Times New Roman" w:cs="Times New Roman"/>
        </w:rPr>
        <w:tab/>
        <w:t>A descrição da solução como um todo encontra-se pormenorizada em tópico específico dos Estudos Técnicos Preliminares, apêndice deste Termo de Referência.</w:t>
      </w:r>
    </w:p>
    <w:p w14:paraId="61441F05" w14:textId="0D66DFE2" w:rsidR="008664CD" w:rsidRPr="008403C5" w:rsidRDefault="008664CD" w:rsidP="004062B4">
      <w:pPr>
        <w:ind w:left="284" w:right="-1" w:hanging="284"/>
        <w:rPr>
          <w:rFonts w:ascii="Times New Roman" w:hAnsi="Times New Roman" w:cs="Times New Roman"/>
        </w:rPr>
      </w:pPr>
    </w:p>
    <w:p w14:paraId="3FE7BBAC"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4.</w:t>
      </w:r>
      <w:r w:rsidRPr="008403C5">
        <w:rPr>
          <w:rFonts w:ascii="Times New Roman" w:hAnsi="Times New Roman" w:cs="Times New Roman"/>
          <w:b/>
          <w:bCs/>
        </w:rPr>
        <w:tab/>
        <w:t>REQUISITOS DA CONTRATAÇÃO</w:t>
      </w:r>
    </w:p>
    <w:p w14:paraId="38177DDE"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Sustentabilidade</w:t>
      </w:r>
    </w:p>
    <w:p w14:paraId="784472F4"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4.1.</w:t>
      </w:r>
      <w:r w:rsidRPr="008403C5">
        <w:rPr>
          <w:rFonts w:ascii="Times New Roman" w:hAnsi="Times New Roman" w:cs="Times New Roman"/>
        </w:rPr>
        <w:tab/>
        <w:t>Além dos critérios de sustentabilidade inseridos na descrição do objeto e no Estudo Técnico Preliminar, devem ser atendidos os seguintes requisitos, que se baseiam no Guia Nacional de Contratações Sustentáveis:</w:t>
      </w:r>
    </w:p>
    <w:p w14:paraId="74FAFB84"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4.1.1</w:t>
      </w:r>
      <w:r w:rsidRPr="008403C5">
        <w:rPr>
          <w:rFonts w:ascii="Times New Roman" w:hAnsi="Times New Roman" w:cs="Times New Roman"/>
        </w:rPr>
        <w:tab/>
        <w:t xml:space="preserve">Priorizar produtos e materiais de menor impacto ambiental, incluindo opções certificadas. </w:t>
      </w:r>
    </w:p>
    <w:p w14:paraId="5B8FE0FA"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4.1.2</w:t>
      </w:r>
      <w:r w:rsidRPr="008403C5">
        <w:rPr>
          <w:rFonts w:ascii="Times New Roman" w:hAnsi="Times New Roman" w:cs="Times New Roman"/>
        </w:rPr>
        <w:tab/>
        <w:t>Adotar soluções que promovam economia de energia, água e demais insumos.</w:t>
      </w:r>
    </w:p>
    <w:p w14:paraId="39B6B18F"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4.1.3</w:t>
      </w:r>
      <w:r w:rsidRPr="008403C5">
        <w:rPr>
          <w:rFonts w:ascii="Times New Roman" w:hAnsi="Times New Roman" w:cs="Times New Roman"/>
        </w:rPr>
        <w:tab/>
        <w:t>Planejar, reduzir, reutilizar e destinar corretamente os resíduos gerados.</w:t>
      </w:r>
    </w:p>
    <w:p w14:paraId="30C69384"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lastRenderedPageBreak/>
        <w:t>4.1.4</w:t>
      </w:r>
      <w:r w:rsidRPr="008403C5">
        <w:rPr>
          <w:rFonts w:ascii="Times New Roman" w:hAnsi="Times New Roman" w:cs="Times New Roman"/>
        </w:rPr>
        <w:tab/>
        <w:t>Garantir conformidade com normas trabalhistas e ambientais, promovendo práticas éticas e de segurança.</w:t>
      </w:r>
    </w:p>
    <w:p w14:paraId="4D15FD41"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4.1.5</w:t>
      </w:r>
      <w:r w:rsidRPr="008403C5">
        <w:rPr>
          <w:rFonts w:ascii="Times New Roman" w:hAnsi="Times New Roman" w:cs="Times New Roman"/>
        </w:rPr>
        <w:tab/>
        <w:t>Incentivar soluções que aumentem a durabilidade, permitam reaproveitamento de materiais e reduzam impactos ambientais.</w:t>
      </w:r>
    </w:p>
    <w:p w14:paraId="5FA17955"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Subcontratação</w:t>
      </w:r>
    </w:p>
    <w:p w14:paraId="50B8A019"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4.2.</w:t>
      </w:r>
      <w:r w:rsidRPr="008403C5">
        <w:rPr>
          <w:rFonts w:ascii="Times New Roman" w:hAnsi="Times New Roman" w:cs="Times New Roman"/>
        </w:rPr>
        <w:tab/>
        <w:t>Não será admitida a subcontratação do objeto contratual.</w:t>
      </w:r>
    </w:p>
    <w:p w14:paraId="55E2C057"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Garantia da contratação</w:t>
      </w:r>
    </w:p>
    <w:p w14:paraId="76F99A9A"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4.3.</w:t>
      </w:r>
      <w:r w:rsidRPr="008403C5">
        <w:rPr>
          <w:rFonts w:ascii="Times New Roman" w:hAnsi="Times New Roman" w:cs="Times New Roman"/>
        </w:rPr>
        <w:tab/>
        <w:t xml:space="preserve">Será exigida a garantia da contratação de que tratam os </w:t>
      </w:r>
      <w:proofErr w:type="spellStart"/>
      <w:r w:rsidRPr="008403C5">
        <w:rPr>
          <w:rFonts w:ascii="Times New Roman" w:hAnsi="Times New Roman" w:cs="Times New Roman"/>
        </w:rPr>
        <w:t>arts</w:t>
      </w:r>
      <w:proofErr w:type="spellEnd"/>
      <w:r w:rsidRPr="008403C5">
        <w:rPr>
          <w:rFonts w:ascii="Times New Roman" w:hAnsi="Times New Roman" w:cs="Times New Roman"/>
        </w:rPr>
        <w:t xml:space="preserve">. 96 e seguintes da Lei nº 14.133, de 2021, com validade durante a execução do contrato e 90 (noventa) dias após término da vigência contratual, podendo o Contratado optar pela caução em dinheiro ou em títulos da dívida pública, seguro-garantia, fiança bancária ou título de capitalização, em valor correspondente a 5% (cinco por cento) do valor total da contratação. </w:t>
      </w:r>
    </w:p>
    <w:p w14:paraId="60ACED58"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4.3.1. Tratando-se de obra ou serviço de engenharia, será exigida garantia adicional do fornecedor cuja proposta for inferior a 85% (oitenta e cinco por cento) do valor orçado pela Administração, equivalente à diferença entre este último e o valor da proposta.</w:t>
      </w:r>
    </w:p>
    <w:p w14:paraId="651A3C48"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4.4.</w:t>
      </w:r>
      <w:r w:rsidRPr="008403C5">
        <w:rPr>
          <w:rFonts w:ascii="Times New Roman" w:hAnsi="Times New Roman" w:cs="Times New Roman"/>
        </w:rPr>
        <w:tab/>
        <w:t>Em caso de opção pelo seguro-garantia, a parte adjudicatária deverá apresentá-la, no máximo, até a data de assinatura do contrato. </w:t>
      </w:r>
    </w:p>
    <w:p w14:paraId="3A8784E7"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4.4.1.</w:t>
      </w:r>
      <w:r w:rsidRPr="008403C5">
        <w:rPr>
          <w:rFonts w:ascii="Times New Roman" w:hAnsi="Times New Roman" w:cs="Times New Roman"/>
        </w:rPr>
        <w:tab/>
        <w:t>A apólice de seguro-garantia permanecerá em vigor mesmo que o Contratado não pague o prêmio nas datas convencionadas. </w:t>
      </w:r>
    </w:p>
    <w:p w14:paraId="7C025739"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4.4.2.</w:t>
      </w:r>
      <w:r w:rsidRPr="008403C5">
        <w:rPr>
          <w:rFonts w:ascii="Times New Roman" w:hAnsi="Times New Roman" w:cs="Times New Roman"/>
        </w:rPr>
        <w:tab/>
        <w:t>Caso o adjudicatário não apresente a apólice de seguro de garantia antes da assinatura do contrato, ocorrerá a preclusão do direito de escolha dessa modalidade de garantia.</w:t>
      </w:r>
    </w:p>
    <w:p w14:paraId="00D92696"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4.4.3.</w:t>
      </w:r>
      <w:r w:rsidRPr="008403C5">
        <w:rPr>
          <w:rFonts w:ascii="Times New Roman" w:hAnsi="Times New Roman" w:cs="Times New Roman"/>
        </w:rPr>
        <w:tab/>
        <w:t>A apólice de seguro-garantia deverá acompanhar as modificações referentes à vigência do contrato principal mediante a emissão do respectivo endosso pela seguradora. </w:t>
      </w:r>
    </w:p>
    <w:p w14:paraId="25AA0C28"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4.4.4.</w:t>
      </w:r>
      <w:r w:rsidRPr="008403C5">
        <w:rPr>
          <w:rFonts w:ascii="Times New Roman" w:hAnsi="Times New Roman" w:cs="Times New Roman"/>
        </w:rPr>
        <w:tab/>
        <w:t>Será permitida a substituição da apólice de seguro-garantia na data de renovação ou de aniversário, desde que mantidas as condições e coberturas da apólice vigente e nenhum período fique descoberto, ressalvados os períodos de suspensão contratual. </w:t>
      </w:r>
    </w:p>
    <w:p w14:paraId="07A10ED6"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4.4.5.</w:t>
      </w:r>
      <w:r w:rsidRPr="008403C5">
        <w:rPr>
          <w:rFonts w:ascii="Times New Roman" w:hAnsi="Times New Roman" w:cs="Times New Roman"/>
        </w:rPr>
        <w:tab/>
        <w:t>Caso o adjudicatário não opte pelo seguro-garantia ou não apresente a apólice de seguro de garantia antes da assinatura do contrato, deverá apresentar, no prazo máximo de 10 (dez) dias úteis, prorrogáveis por igual período, a critério do Contratante, contado da assinatura do contrato, comprovante de prestação de garantia nas modalidades de caução em dinheiro ou títulos da dívida pública, fiança bancária ou títulos de capitalização.</w:t>
      </w:r>
    </w:p>
    <w:p w14:paraId="48C2DE7A"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4.5.</w:t>
      </w:r>
      <w:r w:rsidRPr="008403C5">
        <w:rPr>
          <w:rFonts w:ascii="Times New Roman" w:hAnsi="Times New Roman" w:cs="Times New Roman"/>
        </w:rPr>
        <w:tab/>
        <w:t>Caso seja a garantia em dinheiro a modalidade de garantia escolhida pelo Contratado, deverá ser efetuada em favor do Contratante, em conta específica a ser indicada pelo Contratante, com correção monetária.</w:t>
      </w:r>
    </w:p>
    <w:p w14:paraId="76DDCF63"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4.6.</w:t>
      </w:r>
      <w:r w:rsidRPr="008403C5">
        <w:rPr>
          <w:rFonts w:ascii="Times New Roman" w:hAnsi="Times New Roman" w:cs="Times New Roman"/>
        </w:rPr>
        <w:tab/>
        <w:t xml:space="preserve">Caso a opção seja por utilizar títulos da dívida pública, estes devem ter sido emitidos sob a forma escritural, mediante registro em sistema centralizado de liquidação e de custódia autorizado pelo </w:t>
      </w:r>
      <w:r w:rsidRPr="008403C5">
        <w:rPr>
          <w:rFonts w:ascii="Times New Roman" w:hAnsi="Times New Roman" w:cs="Times New Roman"/>
        </w:rPr>
        <w:lastRenderedPageBreak/>
        <w:t>Banco Central do Brasil, e avaliados pelos seus valores econômicos, conforme definido pelo Ministério competente.</w:t>
      </w:r>
    </w:p>
    <w:p w14:paraId="366A020D"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4.7.</w:t>
      </w:r>
      <w:r w:rsidRPr="008403C5">
        <w:rPr>
          <w:rFonts w:ascii="Times New Roman" w:hAnsi="Times New Roman" w:cs="Times New Roman"/>
        </w:rPr>
        <w:tab/>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14:paraId="1BDD7495"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4.8.</w:t>
      </w:r>
      <w:r w:rsidRPr="008403C5">
        <w:rPr>
          <w:rFonts w:ascii="Times New Roman" w:hAnsi="Times New Roman" w:cs="Times New Roman"/>
        </w:rPr>
        <w:tab/>
        <w:t>Na hipótese de opção pelo título de capitalização, a garantia deverá ser custeada por pagamento único, com resgate pelo valor total, sob a modalidade de instrumento de garantia, emitido por sociedades de capitalização regulamente constituídas e autorizadas pelo Governo Federal.</w:t>
      </w:r>
    </w:p>
    <w:p w14:paraId="19CE3306"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4.8.1.</w:t>
      </w:r>
      <w:r w:rsidRPr="008403C5">
        <w:rPr>
          <w:rFonts w:ascii="Times New Roman" w:hAnsi="Times New Roman" w:cs="Times New Roman"/>
        </w:rPr>
        <w:tab/>
        <w:t xml:space="preserve">O título de capitalização deverá ser apresentado ao Contratante juntamente com as condições gerais e o número do processo administrativo sob o qual o plano de capitalização foi aprovado pela Susep (art. 8º, III, da Circular SUSEP nº 656, de 11 de março de 2022). </w:t>
      </w:r>
    </w:p>
    <w:p w14:paraId="16883E2E"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4.9.</w:t>
      </w:r>
      <w:r w:rsidRPr="008403C5">
        <w:rPr>
          <w:rFonts w:ascii="Times New Roman" w:hAnsi="Times New Roman" w:cs="Times New Roman"/>
        </w:rPr>
        <w:tab/>
        <w:t>A garantia assegurará, qualquer que seja a modalidade escolhida, sob pena de não aceitação, o pagamento de: </w:t>
      </w:r>
    </w:p>
    <w:p w14:paraId="03C62BC1"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4.9.1.</w:t>
      </w:r>
      <w:r w:rsidRPr="008403C5">
        <w:rPr>
          <w:rFonts w:ascii="Times New Roman" w:hAnsi="Times New Roman" w:cs="Times New Roman"/>
        </w:rPr>
        <w:tab/>
        <w:t xml:space="preserve">prejuízos advindos do não cumprimento do objeto do contrato e do não adimplemento das demais obrigações nele previstas;  </w:t>
      </w:r>
    </w:p>
    <w:p w14:paraId="648931B3"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4.9.2.</w:t>
      </w:r>
      <w:r w:rsidRPr="008403C5">
        <w:rPr>
          <w:rFonts w:ascii="Times New Roman" w:hAnsi="Times New Roman" w:cs="Times New Roman"/>
        </w:rPr>
        <w:tab/>
        <w:t>multas moratórias e punitivas aplicadas pela Administração à contratada; e </w:t>
      </w:r>
    </w:p>
    <w:p w14:paraId="7E448EC5"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4.9.3.</w:t>
      </w:r>
      <w:r w:rsidRPr="008403C5">
        <w:rPr>
          <w:rFonts w:ascii="Times New Roman" w:hAnsi="Times New Roman" w:cs="Times New Roman"/>
        </w:rPr>
        <w:tab/>
        <w:t>obrigações trabalhistas e previdenciárias de qualquer natureza e para com o FGTS, não adimplidas pelo Contratado. </w:t>
      </w:r>
    </w:p>
    <w:p w14:paraId="2726073D"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4.10.</w:t>
      </w:r>
      <w:r w:rsidRPr="008403C5">
        <w:rPr>
          <w:rFonts w:ascii="Times New Roman" w:hAnsi="Times New Roman" w:cs="Times New Roman"/>
        </w:rPr>
        <w:tab/>
        <w:t>Em caso de seguro-garantia, a apólice deverá ter cobertura para pagamento direto ao empregado após decisão definitiva em processo administrativo que apure montante líquido e certo a ele devido em razão de inadimplência do Contratado, independentemente de trânsito em julgado de decisão judicial.</w:t>
      </w:r>
    </w:p>
    <w:p w14:paraId="78F089BF"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4.11.</w:t>
      </w:r>
      <w:r w:rsidRPr="008403C5">
        <w:rPr>
          <w:rFonts w:ascii="Times New Roman" w:hAnsi="Times New Roman" w:cs="Times New Roman"/>
        </w:rPr>
        <w:tab/>
        <w:t>No caso de alteração do valor do contrato, ou prorrogação de sua vigência, a garantia deverá ser ajustada ou renovada, no prazo máximo de 10 (dez) dias úteis, prorrogáveis por igual período, contado da data de assinatura do termo aditivo ou da emissão do apostilamento, seguindo os mesmos parâmetros utilizados quando da contratação. </w:t>
      </w:r>
    </w:p>
    <w:p w14:paraId="3EE15561"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4.12.</w:t>
      </w:r>
      <w:r w:rsidRPr="008403C5">
        <w:rPr>
          <w:rFonts w:ascii="Times New Roman" w:hAnsi="Times New Roman" w:cs="Times New Roman"/>
        </w:rPr>
        <w:tab/>
        <w:t>Na hipótese de suspensão do contrato por ordem ou inadimplemento da Administração, o Contratado ficará desobrigado de renovar a garantia ou de endossar a apólice de seguro até a ordem de reinício da execução ou o adimplemento pela Administração. </w:t>
      </w:r>
    </w:p>
    <w:p w14:paraId="659540C7"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4.13.</w:t>
      </w:r>
      <w:r w:rsidRPr="008403C5">
        <w:rPr>
          <w:rFonts w:ascii="Times New Roman" w:hAnsi="Times New Roman" w:cs="Times New Roman"/>
        </w:rPr>
        <w:tab/>
        <w:t>Se o valor da garantia for utilizado total ou parcialmente em pagamento de qualquer obrigação, o Contratado obriga-se a fazer a respectiva reposição no prazo máximo de 10 (dez) dias úteis, prorrogáveis por igual período, a critério do Contratante, contados da data em que for notificada. </w:t>
      </w:r>
    </w:p>
    <w:p w14:paraId="29E30AA1"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4.14.</w:t>
      </w:r>
      <w:r w:rsidRPr="008403C5">
        <w:rPr>
          <w:rFonts w:ascii="Times New Roman" w:hAnsi="Times New Roman" w:cs="Times New Roman"/>
        </w:rPr>
        <w:tab/>
        <w:t>O Contratante executará a garantia na forma prevista na legislação que rege a matéria.</w:t>
      </w:r>
    </w:p>
    <w:p w14:paraId="061B9164"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4.14.1.</w:t>
      </w:r>
      <w:r w:rsidRPr="008403C5">
        <w:rPr>
          <w:rFonts w:ascii="Times New Roman" w:hAnsi="Times New Roman" w:cs="Times New Roman"/>
        </w:rPr>
        <w:tab/>
        <w:t>O emitente da garantia ofertada pelo Contratado deverá ser notificado pelo Contratante quanto ao início de processo administrativo para apuração de descumprimento de cláusulas contratuais.</w:t>
      </w:r>
    </w:p>
    <w:p w14:paraId="6AA56711"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lastRenderedPageBreak/>
        <w:t>4.14.2.</w:t>
      </w:r>
      <w:r w:rsidRPr="008403C5">
        <w:rPr>
          <w:rFonts w:ascii="Times New Roman" w:hAnsi="Times New Roman" w:cs="Times New Roman"/>
        </w:rPr>
        <w:tab/>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 </w:t>
      </w:r>
    </w:p>
    <w:p w14:paraId="666FEACA"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4.15.</w:t>
      </w:r>
      <w:r w:rsidRPr="008403C5">
        <w:rPr>
          <w:rFonts w:ascii="Times New Roman" w:hAnsi="Times New Roman" w:cs="Times New Roman"/>
        </w:rPr>
        <w:tab/>
        <w:t>Extinguir-se-á a garantia com a restituição da carta fiança, autorização para a liberação de importâncias depositadas em dinheiro a título de garantia ou anuência ao resgate do título de capitalização, acompanhada de declaração do Contratante, mediante termo circunstanciado, de que o Contratado cumpriu todas as cláusulas do contrato. </w:t>
      </w:r>
    </w:p>
    <w:p w14:paraId="6E8F2BA2"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4.15.1. A extinção da garantia na modalidade seguro-garantia observará a regulamentação da Susep.</w:t>
      </w:r>
    </w:p>
    <w:p w14:paraId="0589E768"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4.15.2.</w:t>
      </w:r>
      <w:r w:rsidRPr="008403C5">
        <w:rPr>
          <w:rFonts w:ascii="Times New Roman" w:hAnsi="Times New Roman" w:cs="Times New Roman"/>
        </w:rPr>
        <w:tab/>
        <w:t xml:space="preserve">A Administração deverá apurar se há alguma pendência contratual antes do término da vigência da apólice.  </w:t>
      </w:r>
    </w:p>
    <w:p w14:paraId="167F3682"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4.16. A garantia somente será liberada ou restituída após a fiel execução do contrato ou após a sua extinção por culpa exclusiva da Administração e, quando em dinheiro, será atualizada monetariamente.</w:t>
      </w:r>
    </w:p>
    <w:p w14:paraId="295AD5C5"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4.17.</w:t>
      </w:r>
      <w:r w:rsidRPr="008403C5">
        <w:rPr>
          <w:rFonts w:ascii="Times New Roman" w:hAnsi="Times New Roman" w:cs="Times New Roman"/>
        </w:rPr>
        <w:tab/>
        <w:t>O Contratado autoriza o Contratante a reter, a qualquer tempo, a garantia, na forma prevista neste Termo de Referência/Projeto Básico.</w:t>
      </w:r>
    </w:p>
    <w:p w14:paraId="1CC7B76B"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4.18.</w:t>
      </w:r>
      <w:r w:rsidRPr="008403C5">
        <w:rPr>
          <w:rFonts w:ascii="Times New Roman" w:hAnsi="Times New Roman" w:cs="Times New Roman"/>
        </w:rPr>
        <w:tab/>
        <w:t>O garantidor não é parte para figurar em processo administrativo instaurado pelo Contratante com o objetivo de apurar prejuízos e/ou aplicar sanções à contratada.</w:t>
      </w:r>
    </w:p>
    <w:p w14:paraId="34D436F9"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4.19.</w:t>
      </w:r>
      <w:r w:rsidRPr="008403C5">
        <w:rPr>
          <w:rFonts w:ascii="Times New Roman" w:hAnsi="Times New Roman" w:cs="Times New Roman"/>
        </w:rPr>
        <w:tab/>
        <w:t>A garantia de execução é independente de eventual garantia do produto ou serviço prevista neste Termo de Referência/Projeto Básico.</w:t>
      </w:r>
    </w:p>
    <w:p w14:paraId="4C4DC3A6"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Vistoria</w:t>
      </w:r>
    </w:p>
    <w:p w14:paraId="5E57A54C"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4.20.</w:t>
      </w:r>
      <w:r w:rsidRPr="008403C5">
        <w:rPr>
          <w:rFonts w:ascii="Times New Roman" w:hAnsi="Times New Roman" w:cs="Times New Roman"/>
        </w:rPr>
        <w:tab/>
        <w:t>A avaliação prévia do local de execução dos serviços é imprescindível para o conhecimento pleno das condições e peculiaridades do objeto a ser contratado, sendo assegurado ao interessado o direito de realização de vistoria prévia, acompanhado por servidor designado para esse fim, de segunda à sexta-feira, das 07 horas às 11 horas.</w:t>
      </w:r>
    </w:p>
    <w:p w14:paraId="636D4753"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4.21.</w:t>
      </w:r>
      <w:r w:rsidRPr="008403C5">
        <w:rPr>
          <w:rFonts w:ascii="Times New Roman" w:hAnsi="Times New Roman" w:cs="Times New Roman"/>
        </w:rPr>
        <w:tab/>
        <w:t>Serão disponibilizados data e horário diferentes aos interessados em realizar a vistoria prévia.</w:t>
      </w:r>
    </w:p>
    <w:p w14:paraId="72561883"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4.22.</w:t>
      </w:r>
      <w:r w:rsidRPr="008403C5">
        <w:rPr>
          <w:rFonts w:ascii="Times New Roman" w:hAnsi="Times New Roman" w:cs="Times New Roman"/>
        </w:rPr>
        <w:tab/>
        <w:t xml:space="preserve">Para a vistoria, o representante legal da empresa ou responsável técnico deverá estar devidamente identificado, apresentando documento de identidade civil e documento expedido pela empresa comprovando sua habilitação para a realização da vistoria. </w:t>
      </w:r>
    </w:p>
    <w:p w14:paraId="6BF73FDD"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4.23.</w:t>
      </w:r>
      <w:r w:rsidRPr="008403C5">
        <w:rPr>
          <w:rFonts w:ascii="Times New Roman" w:hAnsi="Times New Roman" w:cs="Times New Roman"/>
        </w:rPr>
        <w:tab/>
        <w:t>Caso o interessado opte por não realizar a vistoria, deverá prestar declaração formal assinada pelo seu responsável técnico acerca do conhecimento pleno das condições e peculiaridades da contratação.</w:t>
      </w:r>
    </w:p>
    <w:p w14:paraId="0759FF3E"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4.24.</w:t>
      </w:r>
      <w:r w:rsidRPr="008403C5">
        <w:rPr>
          <w:rFonts w:ascii="Times New Roman" w:hAnsi="Times New Roman" w:cs="Times New Roman"/>
        </w:rPr>
        <w:tab/>
        <w:t>A não realização da vistoria não poderá embasar posteriores alegações de desconhecimento das instalações, dúvidas ou esquecimentos de quaisquer detalhes dos locais da prestação dos serviços, devendo o Contratado assumir os ônus dos serviços decorrentes.</w:t>
      </w:r>
    </w:p>
    <w:p w14:paraId="22A1AE0A"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lastRenderedPageBreak/>
        <w:t>Da não exclusividade e não aplicação da reserva de cotas para microempresas, empresas de pequeno porte e equiparadas:</w:t>
      </w:r>
    </w:p>
    <w:p w14:paraId="2F9E782C" w14:textId="659577D2"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4.25.</w:t>
      </w:r>
      <w:r w:rsidRPr="008403C5">
        <w:rPr>
          <w:rFonts w:ascii="Times New Roman" w:hAnsi="Times New Roman" w:cs="Times New Roman"/>
        </w:rPr>
        <w:tab/>
        <w:t>Não haverá exclusividade e/ou reserva de cotas para microempresas/EPP/Equiparadas (incisos I e III do artigo 48 da LC 123/2006), com base no inciso III do artigo 49 da mesma Lei Complementar 123/2006 c/c parágrafo único do artigo 10 do Decreto Municipal 112/2018, em razão de não ser vantajoso para a administração pública, podendo acarretar a possível perda de economia de escala.</w:t>
      </w:r>
    </w:p>
    <w:p w14:paraId="6D74EED9" w14:textId="77777777" w:rsidR="003700A5" w:rsidRPr="008403C5" w:rsidRDefault="003700A5" w:rsidP="003700A5">
      <w:pPr>
        <w:spacing w:before="0" w:after="0"/>
        <w:ind w:left="284" w:right="-1" w:hanging="284"/>
        <w:rPr>
          <w:rFonts w:ascii="Times New Roman" w:hAnsi="Times New Roman" w:cs="Times New Roman"/>
        </w:rPr>
      </w:pPr>
    </w:p>
    <w:p w14:paraId="39FBE3E2"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5.</w:t>
      </w:r>
      <w:r w:rsidRPr="008403C5">
        <w:rPr>
          <w:rFonts w:ascii="Times New Roman" w:hAnsi="Times New Roman" w:cs="Times New Roman"/>
          <w:b/>
          <w:bCs/>
        </w:rPr>
        <w:tab/>
        <w:t>DO MODELO DE EXECUÇÃO DO OBJETO</w:t>
      </w:r>
    </w:p>
    <w:p w14:paraId="0F62220E"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Condições de entrega</w:t>
      </w:r>
    </w:p>
    <w:p w14:paraId="42C13B78"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5.1.</w:t>
      </w:r>
      <w:r w:rsidRPr="008403C5">
        <w:rPr>
          <w:rFonts w:ascii="Times New Roman" w:hAnsi="Times New Roman" w:cs="Times New Roman"/>
        </w:rPr>
        <w:tab/>
        <w:t>A execução do objeto obedecerá a seguinte dinâmica:</w:t>
      </w:r>
    </w:p>
    <w:p w14:paraId="0A132FE8"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5.1.1.</w:t>
      </w:r>
      <w:r w:rsidRPr="008403C5">
        <w:rPr>
          <w:rFonts w:ascii="Times New Roman" w:hAnsi="Times New Roman" w:cs="Times New Roman"/>
        </w:rPr>
        <w:tab/>
        <w:t>Início da execução do objeto: 02 dias da emissão da ordem de serviços.</w:t>
      </w:r>
    </w:p>
    <w:p w14:paraId="1D218B6F" w14:textId="77777777" w:rsidR="003700A5" w:rsidRPr="008403C5" w:rsidRDefault="003700A5" w:rsidP="003700A5">
      <w:pPr>
        <w:spacing w:before="0" w:after="0"/>
        <w:ind w:left="993" w:hanging="709"/>
        <w:rPr>
          <w:rFonts w:ascii="Times New Roman" w:hAnsi="Times New Roman" w:cs="Times New Roman"/>
        </w:rPr>
      </w:pPr>
      <w:r w:rsidRPr="008403C5">
        <w:rPr>
          <w:rFonts w:ascii="Times New Roman" w:hAnsi="Times New Roman" w:cs="Times New Roman"/>
        </w:rPr>
        <w:t>5.1.2.</w:t>
      </w:r>
      <w:r w:rsidRPr="008403C5">
        <w:rPr>
          <w:rFonts w:ascii="Times New Roman" w:hAnsi="Times New Roman" w:cs="Times New Roman"/>
        </w:rPr>
        <w:tab/>
        <w:t>Descrição detalhada dos métodos, rotinas, etapas, procedimentos, frequência e periodicidade de execução do trabalho, deverá seguir o Memorial Descritivo, Cronograma Físico-Financeiro e Especificações Técnicas.</w:t>
      </w:r>
    </w:p>
    <w:p w14:paraId="2AEEE4FC"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5.1.3.</w:t>
      </w:r>
      <w:r w:rsidRPr="008403C5">
        <w:rPr>
          <w:rFonts w:ascii="Times New Roman" w:hAnsi="Times New Roman" w:cs="Times New Roman"/>
        </w:rPr>
        <w:tab/>
        <w:t>O Cronograma de realização dos serviços encontra-se anexado ao processo.</w:t>
      </w:r>
    </w:p>
    <w:p w14:paraId="29D37236"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Local e horário de prestação dos serviços</w:t>
      </w:r>
    </w:p>
    <w:p w14:paraId="2FD15337" w14:textId="3F426CD2"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5.2.</w:t>
      </w:r>
      <w:r w:rsidRPr="008403C5">
        <w:rPr>
          <w:rFonts w:ascii="Times New Roman" w:hAnsi="Times New Roman" w:cs="Times New Roman"/>
        </w:rPr>
        <w:tab/>
        <w:t>Os serviços serão executados em ruas e vielas localizadas no</w:t>
      </w:r>
      <w:r w:rsidR="00326C51" w:rsidRPr="008403C5">
        <w:rPr>
          <w:rFonts w:ascii="Times New Roman" w:hAnsi="Times New Roman" w:cs="Times New Roman"/>
        </w:rPr>
        <w:t>s</w:t>
      </w:r>
      <w:r w:rsidRPr="008403C5">
        <w:rPr>
          <w:rFonts w:ascii="Times New Roman" w:hAnsi="Times New Roman" w:cs="Times New Roman"/>
        </w:rPr>
        <w:t xml:space="preserve"> Bairro</w:t>
      </w:r>
      <w:r w:rsidR="00326C51" w:rsidRPr="008403C5">
        <w:rPr>
          <w:rFonts w:ascii="Times New Roman" w:hAnsi="Times New Roman" w:cs="Times New Roman"/>
        </w:rPr>
        <w:t>s</w:t>
      </w:r>
      <w:r w:rsidRPr="008403C5">
        <w:rPr>
          <w:rFonts w:ascii="Times New Roman" w:hAnsi="Times New Roman" w:cs="Times New Roman"/>
        </w:rPr>
        <w:t xml:space="preserve"> P</w:t>
      </w:r>
      <w:r w:rsidR="00326C51" w:rsidRPr="008403C5">
        <w:rPr>
          <w:rFonts w:ascii="Times New Roman" w:hAnsi="Times New Roman" w:cs="Times New Roman"/>
        </w:rPr>
        <w:t>arreira e Paulilândia</w:t>
      </w:r>
      <w:r w:rsidRPr="008403C5">
        <w:rPr>
          <w:rFonts w:ascii="Times New Roman" w:hAnsi="Times New Roman" w:cs="Times New Roman"/>
        </w:rPr>
        <w:t>, no município de Santa Helena de Goiás</w:t>
      </w:r>
      <w:r w:rsidR="00326C51" w:rsidRPr="008403C5">
        <w:rPr>
          <w:rFonts w:ascii="Times New Roman" w:hAnsi="Times New Roman" w:cs="Times New Roman"/>
        </w:rPr>
        <w:t xml:space="preserve"> - GO</w:t>
      </w:r>
      <w:r w:rsidRPr="008403C5">
        <w:rPr>
          <w:rFonts w:ascii="Times New Roman" w:hAnsi="Times New Roman" w:cs="Times New Roman"/>
        </w:rPr>
        <w:t>, conforme relação de vias constante na documentação anexa.</w:t>
      </w:r>
    </w:p>
    <w:p w14:paraId="0C723768"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5.3.</w:t>
      </w:r>
      <w:r w:rsidRPr="008403C5">
        <w:rPr>
          <w:rFonts w:ascii="Times New Roman" w:hAnsi="Times New Roman" w:cs="Times New Roman"/>
        </w:rPr>
        <w:tab/>
        <w:t xml:space="preserve"> Os serviços deverão ser prestados em horário comercial.</w:t>
      </w:r>
    </w:p>
    <w:p w14:paraId="14C43CC4"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Materiais a serem disponibilizados</w:t>
      </w:r>
    </w:p>
    <w:p w14:paraId="475BF695"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5.4.</w:t>
      </w:r>
      <w:r w:rsidRPr="008403C5">
        <w:rPr>
          <w:rFonts w:ascii="Times New Roman" w:hAnsi="Times New Roman" w:cs="Times New Roman"/>
        </w:rPr>
        <w:tab/>
        <w:t>Para a perfeita execução dos serviços, o Contratado deverá disponibilizar os materiais, equipamentos, ferramentas e utensílios necessários, nas quantidades estimadas na planilha orçamentária e memorial de cálculo disponibilizados.</w:t>
      </w:r>
    </w:p>
    <w:p w14:paraId="2E0F81A1"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Informações relevantes para o dimensionamento da proposta</w:t>
      </w:r>
    </w:p>
    <w:p w14:paraId="23ECCC9D"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5.5.</w:t>
      </w:r>
      <w:r w:rsidRPr="008403C5">
        <w:rPr>
          <w:rFonts w:ascii="Times New Roman" w:hAnsi="Times New Roman" w:cs="Times New Roman"/>
        </w:rPr>
        <w:tab/>
        <w:t>A demanda do órgão tem como base as seguintes características:</w:t>
      </w:r>
    </w:p>
    <w:p w14:paraId="4E7275AE" w14:textId="1DA7DC23"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5.5.1. Objeto e escopo do serviço: Recapeamento asfáltico em CBUQ (Concreto Betuminoso Usinado a Quente) de vias públicas; execução de sarjetas</w:t>
      </w:r>
      <w:r w:rsidR="00D06FD3" w:rsidRPr="008403C5">
        <w:rPr>
          <w:rFonts w:ascii="Times New Roman" w:hAnsi="Times New Roman" w:cs="Times New Roman"/>
        </w:rPr>
        <w:t xml:space="preserve"> </w:t>
      </w:r>
      <w:r w:rsidRPr="008403C5">
        <w:rPr>
          <w:rFonts w:ascii="Times New Roman" w:hAnsi="Times New Roman" w:cs="Times New Roman"/>
        </w:rPr>
        <w:t>e sinalização da via, conforme especificações do projeto, planilha de levantamento de quantitativos e memorial descritivo.</w:t>
      </w:r>
    </w:p>
    <w:p w14:paraId="18197B77"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 xml:space="preserve">5.5.2.  </w:t>
      </w:r>
      <w:r w:rsidRPr="008403C5">
        <w:rPr>
          <w:rFonts w:ascii="Times New Roman" w:hAnsi="Times New Roman" w:cs="Times New Roman"/>
        </w:rPr>
        <w:tab/>
        <w:t>Quantitativos: Os quantitativos encontram-se detalhados na planilha orçamentária e planilha de levantamento de quantitativos.</w:t>
      </w:r>
    </w:p>
    <w:p w14:paraId="24A2433F" w14:textId="7EBD95A6"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5.5.3. Valor estimado da contratação: O valor estimado é de R$</w:t>
      </w:r>
      <w:r w:rsidR="00326C51" w:rsidRPr="008403C5">
        <w:rPr>
          <w:rFonts w:ascii="Times New Roman" w:hAnsi="Times New Roman" w:cs="Times New Roman"/>
        </w:rPr>
        <w:t>746.673,72</w:t>
      </w:r>
      <w:r w:rsidRPr="008403C5">
        <w:rPr>
          <w:rFonts w:ascii="Times New Roman" w:hAnsi="Times New Roman" w:cs="Times New Roman"/>
        </w:rPr>
        <w:t>, conforme planilha orçamentária.</w:t>
      </w:r>
    </w:p>
    <w:p w14:paraId="7FFA9882"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5.5.4. Prazos e frentes de obra: O prazo total da execução está previsto no cronograma físico-financeiro. As frentes de obra devem considerar logística, segurança e menor impacto ao tráfego.</w:t>
      </w:r>
    </w:p>
    <w:p w14:paraId="4BB99E26"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lastRenderedPageBreak/>
        <w:t>5.5.5. Critérios técnicos e de qualidade: A execução deve respeitar as legislações vigentes. Devem ser utilizados materiais dentro das especificações técnicas e padrões de qualidade exigidos no projeto e memorial descritivo.</w:t>
      </w:r>
    </w:p>
    <w:p w14:paraId="2AF4F970"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5.5.6. Recursos e restrições: Acesso às vias e áreas de intervenção será coordenado pela Secretaria responsável.</w:t>
      </w:r>
    </w:p>
    <w:p w14:paraId="13120B2B"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Especificação da garantia do serviço</w:t>
      </w:r>
    </w:p>
    <w:p w14:paraId="36431D0E"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5.6.</w:t>
      </w:r>
      <w:r w:rsidRPr="008403C5">
        <w:rPr>
          <w:rFonts w:ascii="Times New Roman" w:hAnsi="Times New Roman" w:cs="Times New Roman"/>
        </w:rPr>
        <w:tab/>
        <w:t>O prazo de garantia contratual dos serviços, complementar à garantia legal da Lei nº 8.078/1990, será de, no mínimo, 5 (cinco) anos, conforme o Código Civil (Art. 618, CC/02), salvo para serviços de vida útil naturalmente reduzida (ex.: sinalização viária, pintura, serviços de manutenção simples), contado a partir do primeiro dia útil subsequente à data do recebimento definitivo do objeto.</w:t>
      </w:r>
    </w:p>
    <w:p w14:paraId="47BE70E9"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Procedimentos de transição e finalização do contrato</w:t>
      </w:r>
    </w:p>
    <w:p w14:paraId="6FFE77C7"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5.7.</w:t>
      </w:r>
      <w:r w:rsidRPr="008403C5">
        <w:rPr>
          <w:rFonts w:ascii="Times New Roman" w:hAnsi="Times New Roman" w:cs="Times New Roman"/>
        </w:rPr>
        <w:tab/>
        <w:t>Não serão necessários procedimentos de transição e finalização do contrato devido às características do objeto.</w:t>
      </w:r>
    </w:p>
    <w:p w14:paraId="10460508" w14:textId="77777777" w:rsidR="003700A5" w:rsidRPr="008403C5" w:rsidRDefault="003700A5" w:rsidP="003700A5">
      <w:pPr>
        <w:spacing w:before="0" w:after="0"/>
        <w:ind w:left="284" w:right="-1" w:hanging="284"/>
        <w:rPr>
          <w:rFonts w:ascii="Times New Roman" w:hAnsi="Times New Roman" w:cs="Times New Roman"/>
        </w:rPr>
      </w:pPr>
    </w:p>
    <w:p w14:paraId="693BC192"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6.</w:t>
      </w:r>
      <w:r w:rsidRPr="008403C5">
        <w:rPr>
          <w:rFonts w:ascii="Times New Roman" w:hAnsi="Times New Roman" w:cs="Times New Roman"/>
          <w:b/>
          <w:bCs/>
        </w:rPr>
        <w:tab/>
        <w:t>DO MODELO DE GESTÃO DO CONTRATO</w:t>
      </w:r>
    </w:p>
    <w:p w14:paraId="347DEAB0"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6.1.</w:t>
      </w:r>
      <w:r w:rsidRPr="008403C5">
        <w:rPr>
          <w:rFonts w:ascii="Times New Roman" w:hAnsi="Times New Roman" w:cs="Times New Roman"/>
        </w:rPr>
        <w:tab/>
        <w:t>O contrato deverá ser executado fielmente pelas partes, de acordo com as cláusulas avençadas e as normas da Lei nº 14.133, de 2021, e cada parte responderá pelas consequências de sua inexecução total ou parcial.</w:t>
      </w:r>
    </w:p>
    <w:p w14:paraId="5DA123F3"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6.2.</w:t>
      </w:r>
      <w:r w:rsidRPr="008403C5">
        <w:rPr>
          <w:rFonts w:ascii="Times New Roman" w:hAnsi="Times New Roman" w:cs="Times New Roman"/>
        </w:rPr>
        <w:tab/>
        <w:t>Em caso de impedimento, ordem de paralisação ou suspensão do contrato, o cronograma de execução será prorrogado automaticamente pelo tempo correspondente, anotadas tais circunstâncias mediante simples apostila.</w:t>
      </w:r>
    </w:p>
    <w:p w14:paraId="09ECFC18"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6.3.</w:t>
      </w:r>
      <w:r w:rsidRPr="008403C5">
        <w:rPr>
          <w:rFonts w:ascii="Times New Roman" w:hAnsi="Times New Roman" w:cs="Times New Roman"/>
        </w:rPr>
        <w:tab/>
        <w:t>As comunicações entre o órgão ou entidade e a contratada devem ser realizadas por escrito sempre que o ato exigir tal formalidade, admitindo-se o uso de mensagem eletrônica para esse fim.</w:t>
      </w:r>
    </w:p>
    <w:p w14:paraId="638FDDE3"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6.4.</w:t>
      </w:r>
      <w:r w:rsidRPr="008403C5">
        <w:rPr>
          <w:rFonts w:ascii="Times New Roman" w:hAnsi="Times New Roman" w:cs="Times New Roman"/>
        </w:rPr>
        <w:tab/>
        <w:t>O órgão ou entidade poderá convocar representante da empresa para adoção de providências que devam ser cumpridas de imediato.</w:t>
      </w:r>
    </w:p>
    <w:p w14:paraId="21403E02"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6.5.</w:t>
      </w:r>
      <w:r w:rsidRPr="008403C5">
        <w:rPr>
          <w:rFonts w:ascii="Times New Roman" w:hAnsi="Times New Roman" w:cs="Times New Roman"/>
        </w:rPr>
        <w:tab/>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do Contratado, quando houver, do método de aferição dos resultados e das sanções aplicáveis, dentre outros.</w:t>
      </w:r>
    </w:p>
    <w:p w14:paraId="3897A5D3"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Preposto</w:t>
      </w:r>
    </w:p>
    <w:p w14:paraId="2CC153FD"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6.6.</w:t>
      </w:r>
      <w:r w:rsidRPr="008403C5">
        <w:rPr>
          <w:rFonts w:ascii="Times New Roman" w:hAnsi="Times New Roman" w:cs="Times New Roman"/>
        </w:rPr>
        <w:tab/>
        <w:t>O Contratado designará formalmente o preposto da empresa, antes do início da prestação dos serviços, indicando no instrumento os poderes e deveres em relação à execução do objeto contratado.</w:t>
      </w:r>
    </w:p>
    <w:p w14:paraId="0FBFDD91"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6.7.</w:t>
      </w:r>
      <w:r w:rsidRPr="008403C5">
        <w:rPr>
          <w:rFonts w:ascii="Times New Roman" w:hAnsi="Times New Roman" w:cs="Times New Roman"/>
        </w:rPr>
        <w:tab/>
        <w:t xml:space="preserve">O Contratado não necessitará manter preposto da empresa em tempo integral no local da execução do objeto, devendo, entretanto, assegurar sua presença em momentos críticos e que demandem acompanhamento direto, tais como início de frentes de serviço, execução de camadas de </w:t>
      </w:r>
      <w:r w:rsidRPr="008403C5">
        <w:rPr>
          <w:rFonts w:ascii="Times New Roman" w:hAnsi="Times New Roman" w:cs="Times New Roman"/>
        </w:rPr>
        <w:lastRenderedPageBreak/>
        <w:t>pavimentação, aplicação de CBUQ, medições e recebimentos. Ressalta-se que os custos relativos à Administração Local da obra já foram considerados na planilha orçamentária, de modo a garantir o acompanhamento adequado da execução contratual.</w:t>
      </w:r>
    </w:p>
    <w:p w14:paraId="4EA3B02F"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6.8.</w:t>
      </w:r>
      <w:r w:rsidRPr="008403C5">
        <w:rPr>
          <w:rFonts w:ascii="Times New Roman" w:hAnsi="Times New Roman" w:cs="Times New Roman"/>
        </w:rPr>
        <w:tab/>
        <w:t>O Contratante poderá recusar, desde que justificadamente, a indicação ou a manutenção do preposto da empresa, hipótese em que o Contratado designará outro para o exercício da atividade.</w:t>
      </w:r>
    </w:p>
    <w:p w14:paraId="78AAD0DD"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Rotinas de Fiscalização</w:t>
      </w:r>
    </w:p>
    <w:p w14:paraId="4C1BADAA"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6.9.</w:t>
      </w:r>
      <w:r w:rsidRPr="008403C5">
        <w:rPr>
          <w:rFonts w:ascii="Times New Roman" w:hAnsi="Times New Roman" w:cs="Times New Roman"/>
        </w:rPr>
        <w:tab/>
        <w:t>A execução do contrato deverá ser acompanhada e fiscalizada pelo(s) fiscal(</w:t>
      </w:r>
      <w:proofErr w:type="spellStart"/>
      <w:r w:rsidRPr="008403C5">
        <w:rPr>
          <w:rFonts w:ascii="Times New Roman" w:hAnsi="Times New Roman" w:cs="Times New Roman"/>
        </w:rPr>
        <w:t>is</w:t>
      </w:r>
      <w:proofErr w:type="spellEnd"/>
      <w:r w:rsidRPr="008403C5">
        <w:rPr>
          <w:rFonts w:ascii="Times New Roman" w:hAnsi="Times New Roman" w:cs="Times New Roman"/>
        </w:rPr>
        <w:t>) do contrato, ou pelos respectivos substitutos.</w:t>
      </w:r>
    </w:p>
    <w:p w14:paraId="5CE22481"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6.10.</w:t>
      </w:r>
      <w:r w:rsidRPr="008403C5">
        <w:rPr>
          <w:rFonts w:ascii="Times New Roman" w:hAnsi="Times New Roman" w:cs="Times New Roman"/>
        </w:rPr>
        <w:tab/>
        <w:t>O fiscal do contrato acompanhará a execução do contrato, para que sejam cumpridas todas as condições estabelecidas no contrato, de modo a assegurar os melhores resultados para a Administração.</w:t>
      </w:r>
    </w:p>
    <w:p w14:paraId="6A9F4938"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6.11.</w:t>
      </w:r>
      <w:r w:rsidRPr="008403C5">
        <w:rPr>
          <w:rFonts w:ascii="Times New Roman" w:hAnsi="Times New Roman" w:cs="Times New Roman"/>
        </w:rPr>
        <w:tab/>
        <w:t>O fiscal do contrato anotará no histórico de gerenciamento do contrato todas as ocorrências relacionadas à execução do contrato, com a descrição do que for necessário para a regularização das faltas ou dos defeitos observados.</w:t>
      </w:r>
    </w:p>
    <w:p w14:paraId="7BC8D9CF"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6.12.</w:t>
      </w:r>
      <w:r w:rsidRPr="008403C5">
        <w:rPr>
          <w:rFonts w:ascii="Times New Roman" w:hAnsi="Times New Roman" w:cs="Times New Roman"/>
        </w:rPr>
        <w:tab/>
        <w:t>Identificada qualquer inexatidão ou irregularidade, o fiscal do contrato emitirá notificações para a correção da execução do contrato, determinando prazo para a correção.</w:t>
      </w:r>
    </w:p>
    <w:p w14:paraId="6358CCB0"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6.13.</w:t>
      </w:r>
      <w:r w:rsidRPr="008403C5">
        <w:rPr>
          <w:rFonts w:ascii="Times New Roman" w:hAnsi="Times New Roman" w:cs="Times New Roman"/>
        </w:rPr>
        <w:tab/>
        <w:t>O fiscal do contrato informará ao gestor do contato, em tempo hábil, a situação que demandar decisão ou adoção de medidas que ultrapassem sua competência, para que adote as medidas necessárias e saneadoras, se for o caso.</w:t>
      </w:r>
    </w:p>
    <w:p w14:paraId="60B16AC1"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6.14.</w:t>
      </w:r>
      <w:r w:rsidRPr="008403C5">
        <w:rPr>
          <w:rFonts w:ascii="Times New Roman" w:hAnsi="Times New Roman" w:cs="Times New Roman"/>
        </w:rPr>
        <w:tab/>
        <w:t>No caso de ocorrências que possam inviabilizar a execução do contrato nas datas aprazadas, o fiscal do contrato comunicará o fato imediatamente ao gestor do contrato.</w:t>
      </w:r>
    </w:p>
    <w:p w14:paraId="115960C2"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6.15.</w:t>
      </w:r>
      <w:r w:rsidRPr="008403C5">
        <w:rPr>
          <w:rFonts w:ascii="Times New Roman" w:hAnsi="Times New Roman" w:cs="Times New Roman"/>
        </w:rPr>
        <w:tab/>
        <w:t>O fiscal do contrato comunicará ao gestor do contrato, em tempo hábil, o término do contrato sob sua responsabilidade, com vistas à renovação tempestiva ou à prorrogação contratual.</w:t>
      </w:r>
    </w:p>
    <w:p w14:paraId="2CE1A282"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6.16.</w:t>
      </w:r>
      <w:r w:rsidRPr="008403C5">
        <w:rPr>
          <w:rFonts w:ascii="Times New Roman" w:hAnsi="Times New Roman" w:cs="Times New Roman"/>
        </w:rPr>
        <w:tab/>
        <w:t>O fiscal do contrato também verificará a manutenção das condições de habilitação da contratada, acompanhará o empenho, o pagamento, as garantias, as glosas e a formalização de apostilamento e termos aditivos, solicitando quaisquer documentos comprobatórios pertinentes, caso necessário.</w:t>
      </w:r>
    </w:p>
    <w:p w14:paraId="67241942"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6.17.</w:t>
      </w:r>
      <w:r w:rsidRPr="008403C5">
        <w:rPr>
          <w:rFonts w:ascii="Times New Roman" w:hAnsi="Times New Roman" w:cs="Times New Roman"/>
        </w:rPr>
        <w:tab/>
        <w:t>Caso ocorra descumprimento das obrigações contratuais, o fiscal do contrato atuará tempestivamente na solução do problema, reportando ao gestor do contrato para que tome as providências cabíveis, quando ultrapassar a sua competência.</w:t>
      </w:r>
    </w:p>
    <w:p w14:paraId="6EE9F67B"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6.18.</w:t>
      </w:r>
      <w:r w:rsidRPr="008403C5">
        <w:rPr>
          <w:rFonts w:ascii="Times New Roman" w:hAnsi="Times New Roman" w:cs="Times New Roman"/>
        </w:rPr>
        <w:tab/>
        <w:t xml:space="preserve">A fiscalização de que trata esta cláusula não exclui nem reduz a responsabilidade do Contratado,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 </w:t>
      </w:r>
    </w:p>
    <w:p w14:paraId="20A1B00A"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Gestor do Contrato</w:t>
      </w:r>
    </w:p>
    <w:p w14:paraId="75EB4413"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6.19.</w:t>
      </w:r>
      <w:r w:rsidRPr="008403C5">
        <w:rPr>
          <w:rFonts w:ascii="Times New Roman" w:hAnsi="Times New Roman" w:cs="Times New Roman"/>
        </w:rPr>
        <w:tab/>
        <w:t>Cabe ao gestor do contrato:</w:t>
      </w:r>
    </w:p>
    <w:p w14:paraId="5D9F81F0"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lastRenderedPageBreak/>
        <w:t>6.19.1.</w:t>
      </w:r>
      <w:r w:rsidRPr="008403C5">
        <w:rPr>
          <w:rFonts w:ascii="Times New Roman" w:hAnsi="Times New Roman" w:cs="Times New Roman"/>
        </w:rPr>
        <w:tab/>
        <w:t>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4B48C9E6"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6.19.2.</w:t>
      </w:r>
      <w:r w:rsidRPr="008403C5">
        <w:rPr>
          <w:rFonts w:ascii="Times New Roman" w:hAnsi="Times New Roman" w:cs="Times New Roman"/>
        </w:rPr>
        <w:tab/>
        <w:t>Acompanhar os registros realizados pelo(s) fiscal(</w:t>
      </w:r>
      <w:proofErr w:type="spellStart"/>
      <w:r w:rsidRPr="008403C5">
        <w:rPr>
          <w:rFonts w:ascii="Times New Roman" w:hAnsi="Times New Roman" w:cs="Times New Roman"/>
        </w:rPr>
        <w:t>is</w:t>
      </w:r>
      <w:proofErr w:type="spellEnd"/>
      <w:r w:rsidRPr="008403C5">
        <w:rPr>
          <w:rFonts w:ascii="Times New Roman" w:hAnsi="Times New Roman" w:cs="Times New Roman"/>
        </w:rPr>
        <w:t>) do contrato, de todas as ocorrências relacionadas à execução do contrato e as medidas adotadas, informando, se for o caso, à autoridade superior àquelas que ultrapassarem a sua competência.</w:t>
      </w:r>
    </w:p>
    <w:p w14:paraId="4276641B"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6.19.3.</w:t>
      </w:r>
      <w:r w:rsidRPr="008403C5">
        <w:rPr>
          <w:rFonts w:ascii="Times New Roman" w:hAnsi="Times New Roman" w:cs="Times New Roman"/>
        </w:rPr>
        <w:tab/>
        <w:t>Acompanhar a manutenção das condições de habilitação da contratada, para fins de empenho de despesa e pagamento, e anotará os problemas que obstem o fluxo normal da liquidação e do pagamento da despesa no relatório de riscos eventuais.</w:t>
      </w:r>
    </w:p>
    <w:p w14:paraId="52EB3AB2"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6.19.4.</w:t>
      </w:r>
      <w:r w:rsidRPr="008403C5">
        <w:rPr>
          <w:rFonts w:ascii="Times New Roman" w:hAnsi="Times New Roman" w:cs="Times New Roman"/>
        </w:rPr>
        <w:tab/>
        <w:t>Emitir documento comprobatório da avaliação realizada pelo(s) fiscal(</w:t>
      </w:r>
      <w:proofErr w:type="spellStart"/>
      <w:r w:rsidRPr="008403C5">
        <w:rPr>
          <w:rFonts w:ascii="Times New Roman" w:hAnsi="Times New Roman" w:cs="Times New Roman"/>
        </w:rPr>
        <w:t>is</w:t>
      </w:r>
      <w:proofErr w:type="spellEnd"/>
      <w:r w:rsidRPr="008403C5">
        <w:rPr>
          <w:rFonts w:ascii="Times New Roman" w:hAnsi="Times New Roman" w:cs="Times New Roman"/>
        </w:rPr>
        <w:t>) do contrato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2537A52B"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6.19.5.</w:t>
      </w:r>
      <w:r w:rsidRPr="008403C5">
        <w:rPr>
          <w:rFonts w:ascii="Times New Roman" w:hAnsi="Times New Roman" w:cs="Times New Roman"/>
        </w:rPr>
        <w:tab/>
        <w:t>Tomar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14:paraId="62C828AD"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6.19.6.</w:t>
      </w:r>
      <w:r w:rsidRPr="008403C5">
        <w:rPr>
          <w:rFonts w:ascii="Times New Roman" w:hAnsi="Times New Roman" w:cs="Times New Roman"/>
        </w:rPr>
        <w:tab/>
        <w:t>Elaborar relatório final com informações sobre a consecução dos objetivos que tenham justificado a contratação e eventuais condutas a serem adotadas para o aprimoramento das atividades da Administração.</w:t>
      </w:r>
    </w:p>
    <w:p w14:paraId="33CD6EAF"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6.19.7.</w:t>
      </w:r>
      <w:r w:rsidRPr="008403C5">
        <w:rPr>
          <w:rFonts w:ascii="Times New Roman" w:hAnsi="Times New Roman" w:cs="Times New Roman"/>
        </w:rPr>
        <w:tab/>
        <w:t>Enviar a documentação pertinente ao setor de contratos para a formalização dos procedimentos de liquidação e pagamento, no valor dimensionado pela fiscalização e gestão nos termos do contrato.</w:t>
      </w:r>
    </w:p>
    <w:p w14:paraId="6B1BF063"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6.19.8.</w:t>
      </w:r>
      <w:r w:rsidRPr="008403C5">
        <w:rPr>
          <w:rFonts w:ascii="Times New Roman" w:hAnsi="Times New Roman" w:cs="Times New Roman"/>
        </w:rPr>
        <w:tab/>
        <w:t>Receber e dar encaminhamento imediato:</w:t>
      </w:r>
    </w:p>
    <w:p w14:paraId="29E1E460" w14:textId="77777777" w:rsidR="003700A5" w:rsidRPr="008403C5" w:rsidRDefault="003700A5" w:rsidP="003700A5">
      <w:pPr>
        <w:spacing w:before="0" w:after="0"/>
        <w:ind w:left="1701" w:right="-1" w:hanging="567"/>
        <w:rPr>
          <w:rFonts w:ascii="Times New Roman" w:hAnsi="Times New Roman" w:cs="Times New Roman"/>
        </w:rPr>
      </w:pPr>
      <w:r w:rsidRPr="008403C5">
        <w:rPr>
          <w:rFonts w:ascii="Times New Roman" w:hAnsi="Times New Roman" w:cs="Times New Roman"/>
        </w:rPr>
        <w:t xml:space="preserve">a) </w:t>
      </w:r>
      <w:r w:rsidRPr="008403C5">
        <w:rPr>
          <w:rFonts w:ascii="Times New Roman" w:hAnsi="Times New Roman" w:cs="Times New Roman"/>
        </w:rPr>
        <w:tab/>
        <w:t>Às denúncias de discriminação, violência e assédio no ambiente de trabalho;</w:t>
      </w:r>
    </w:p>
    <w:p w14:paraId="5A030B9E" w14:textId="77777777" w:rsidR="003700A5" w:rsidRPr="008403C5" w:rsidRDefault="003700A5" w:rsidP="003700A5">
      <w:pPr>
        <w:spacing w:before="0" w:after="0"/>
        <w:ind w:left="1701" w:hanging="567"/>
        <w:rPr>
          <w:rFonts w:ascii="Times New Roman" w:hAnsi="Times New Roman" w:cs="Times New Roman"/>
        </w:rPr>
      </w:pPr>
      <w:r w:rsidRPr="008403C5">
        <w:rPr>
          <w:rFonts w:ascii="Times New Roman" w:hAnsi="Times New Roman" w:cs="Times New Roman"/>
        </w:rPr>
        <w:t xml:space="preserve">b) </w:t>
      </w:r>
      <w:r w:rsidRPr="008403C5">
        <w:rPr>
          <w:rFonts w:ascii="Times New Roman" w:hAnsi="Times New Roman" w:cs="Times New Roman"/>
        </w:rPr>
        <w:tab/>
        <w:t>À notificação formal de que a empresa contratada está descumprindo suas obrigações trabalhistas, enviada pelo trabalhador, sindicato, Ministério do Trabalho, Ministério Público, Defensoria Pública ou qualquer outro meio idôneo.</w:t>
      </w:r>
    </w:p>
    <w:p w14:paraId="41E196F2" w14:textId="77777777" w:rsidR="003700A5" w:rsidRPr="008403C5" w:rsidRDefault="003700A5" w:rsidP="003700A5">
      <w:pPr>
        <w:spacing w:before="0" w:after="0"/>
        <w:ind w:left="284" w:hanging="284"/>
        <w:rPr>
          <w:rFonts w:ascii="Times New Roman" w:hAnsi="Times New Roman" w:cs="Times New Roman"/>
        </w:rPr>
      </w:pPr>
    </w:p>
    <w:p w14:paraId="0668A6FF"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7.</w:t>
      </w:r>
      <w:r w:rsidRPr="008403C5">
        <w:rPr>
          <w:rFonts w:ascii="Times New Roman" w:hAnsi="Times New Roman" w:cs="Times New Roman"/>
          <w:b/>
          <w:bCs/>
        </w:rPr>
        <w:tab/>
        <w:t>CRITÉRIOS DE MEDIÇÃO E DE PAGAMENTO</w:t>
      </w:r>
    </w:p>
    <w:p w14:paraId="77DB3962"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7.1.</w:t>
      </w:r>
      <w:r w:rsidRPr="008403C5">
        <w:rPr>
          <w:rFonts w:ascii="Times New Roman" w:hAnsi="Times New Roman" w:cs="Times New Roman"/>
        </w:rPr>
        <w:tab/>
        <w:t>A avaliação da execução do objeto será aferida através da qualidade da prestação dos serviços e do disposto nesta seção.</w:t>
      </w:r>
    </w:p>
    <w:p w14:paraId="30356002"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lastRenderedPageBreak/>
        <w:t>7.1.1. No caso de empreitada por preço global, será adotada sistemática de medição e pagamento associada à execução de etapas do cronograma físico-financeiro vinculadas ao cumprimento de metas de resultado, vedada a adoção de sistemática de remuneração orientada por preços unitários ou referenciada pela execução de quantidades de itens unitários.</w:t>
      </w:r>
    </w:p>
    <w:p w14:paraId="0AB10CDD"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7.2.</w:t>
      </w:r>
      <w:r w:rsidRPr="008403C5">
        <w:rPr>
          <w:rFonts w:ascii="Times New Roman" w:hAnsi="Times New Roman" w:cs="Times New Roman"/>
        </w:rPr>
        <w:tab/>
        <w:t>Será indicada a retenção ou glosa no pagamento, proporcional à irregularidade verificada, sem prejuízo das sanções cabíveis, caso se constate que o Contratado:</w:t>
      </w:r>
    </w:p>
    <w:p w14:paraId="45472F7C"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7.2.1.</w:t>
      </w:r>
      <w:r w:rsidRPr="008403C5">
        <w:rPr>
          <w:rFonts w:ascii="Times New Roman" w:hAnsi="Times New Roman" w:cs="Times New Roman"/>
        </w:rPr>
        <w:tab/>
        <w:t>Não produziu os resultados acordados;</w:t>
      </w:r>
    </w:p>
    <w:p w14:paraId="56F58089"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7.2.2.</w:t>
      </w:r>
      <w:r w:rsidRPr="008403C5">
        <w:rPr>
          <w:rFonts w:ascii="Times New Roman" w:hAnsi="Times New Roman" w:cs="Times New Roman"/>
        </w:rPr>
        <w:tab/>
        <w:t>Deixou de executar, ou não executou com a qualidade mínima exigida as atividades contratadas; ou</w:t>
      </w:r>
    </w:p>
    <w:p w14:paraId="2350F577"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7.2.3.</w:t>
      </w:r>
      <w:r w:rsidRPr="008403C5">
        <w:rPr>
          <w:rFonts w:ascii="Times New Roman" w:hAnsi="Times New Roman" w:cs="Times New Roman"/>
        </w:rPr>
        <w:tab/>
        <w:t>Deixou de utilizar materiais e recursos humanos exigidos para a execução dos serviços, ou os utilizou com qualidade ou quantidade inferior à demandada.</w:t>
      </w:r>
    </w:p>
    <w:p w14:paraId="73E5AD12"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Do recebimento</w:t>
      </w:r>
    </w:p>
    <w:p w14:paraId="4D2D7962"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7.3.</w:t>
      </w:r>
      <w:r w:rsidRPr="008403C5">
        <w:rPr>
          <w:rFonts w:ascii="Times New Roman" w:hAnsi="Times New Roman" w:cs="Times New Roman"/>
        </w:rPr>
        <w:tab/>
        <w:t>Os serviços serão recebidos provisoriamente, no prazo de até 5 (cinco) dias úteis, pelo(s) fiscal(</w:t>
      </w:r>
      <w:proofErr w:type="spellStart"/>
      <w:r w:rsidRPr="008403C5">
        <w:rPr>
          <w:rFonts w:ascii="Times New Roman" w:hAnsi="Times New Roman" w:cs="Times New Roman"/>
        </w:rPr>
        <w:t>is</w:t>
      </w:r>
      <w:proofErr w:type="spellEnd"/>
      <w:r w:rsidRPr="008403C5">
        <w:rPr>
          <w:rFonts w:ascii="Times New Roman" w:hAnsi="Times New Roman" w:cs="Times New Roman"/>
        </w:rPr>
        <w:t>) do contrato, mediante termo detalhado, quando verificado o cumprimento das exigências de caráter técnico e administrativo.</w:t>
      </w:r>
    </w:p>
    <w:p w14:paraId="64968987"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7.3.1. Tratando-se de obra ou serviço de engenharia, ao final de cada etapa da execução contratual, conforme previsto no Cronograma Físico-Financeiro, o Contratado apresentará a medição prévia dos serviços executados no período, por meio de planilha e memória de cálculo detalhada.</w:t>
      </w:r>
    </w:p>
    <w:p w14:paraId="7E26F394"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7.3.2. Uma etapa será considerada efetivamente concluída quando os serviços previstos para aquela etapa, no cronograma físico-financeiro, estiverem executados em sua finalidade.</w:t>
      </w:r>
    </w:p>
    <w:p w14:paraId="375B786A"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7.3.3. O contratado também apresentará, em cada medição, os documentos comprobatórios da procedência legal dos produtos e subprodutos florestais utilizados naquela etapa da execução contratual, quando for o caso.</w:t>
      </w:r>
    </w:p>
    <w:p w14:paraId="4B2759E4"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7.4.</w:t>
      </w:r>
      <w:r w:rsidRPr="008403C5">
        <w:rPr>
          <w:rFonts w:ascii="Times New Roman" w:hAnsi="Times New Roman" w:cs="Times New Roman"/>
        </w:rPr>
        <w:tab/>
        <w:t>O prazo para recebimento provisório será contado do recebimento de comunicação de cobrança oriunda do Contratado com a comprovação da prestação dos serviços a que se referem a parcela a ser paga.</w:t>
      </w:r>
    </w:p>
    <w:p w14:paraId="3FB0626F"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7.5.</w:t>
      </w:r>
      <w:r w:rsidRPr="008403C5">
        <w:rPr>
          <w:rFonts w:ascii="Times New Roman" w:hAnsi="Times New Roman" w:cs="Times New Roman"/>
        </w:rPr>
        <w:tab/>
        <w:t>O fiscal do contrato realizará o recebimento provisório do objeto do contrato mediante termo detalhado que comprove o cumprimento das exigências de caráter técnico e administrativo.</w:t>
      </w:r>
    </w:p>
    <w:p w14:paraId="6CBD17A9"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7.6.</w:t>
      </w:r>
      <w:r w:rsidRPr="008403C5">
        <w:rPr>
          <w:rFonts w:ascii="Times New Roman" w:hAnsi="Times New Roman" w:cs="Times New Roman"/>
        </w:rPr>
        <w:tab/>
        <w:t>O fiscal setorial do contrato, quando houver, realizará o recebimento provisório sob o ponto de vista técnico e administrativo.</w:t>
      </w:r>
    </w:p>
    <w:p w14:paraId="2D419858"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7.7.</w:t>
      </w:r>
      <w:r w:rsidRPr="008403C5">
        <w:rPr>
          <w:rFonts w:ascii="Times New Roman" w:hAnsi="Times New Roman" w:cs="Times New Roman"/>
        </w:rPr>
        <w:tab/>
        <w:t>Para efeito de recebimento provisório, será considerado para fins de faturamento o período mensal.</w:t>
      </w:r>
    </w:p>
    <w:p w14:paraId="487E3BD0"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7.8.</w:t>
      </w:r>
      <w:r w:rsidRPr="008403C5">
        <w:rPr>
          <w:rFonts w:ascii="Times New Roman" w:hAnsi="Times New Roman" w:cs="Times New Roman"/>
        </w:rPr>
        <w:tab/>
        <w:t>Ao final de cada período/evento de faturamento:</w:t>
      </w:r>
    </w:p>
    <w:p w14:paraId="2DC97E38"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7.8.1.</w:t>
      </w:r>
      <w:r w:rsidRPr="008403C5">
        <w:rPr>
          <w:rFonts w:ascii="Times New Roman" w:hAnsi="Times New Roman" w:cs="Times New Roman"/>
        </w:rPr>
        <w:tab/>
        <w:t xml:space="preserve">O fiscal do contrato deverá apurar o resultado das avaliações da execução do objeto e, se for o caso, a análise de desempenho e qualidade da prestação dos serviços realizados em consonância com os indicadores previstos no ato convocatório, que poderá resultar no </w:t>
      </w:r>
      <w:r w:rsidRPr="008403C5">
        <w:rPr>
          <w:rFonts w:ascii="Times New Roman" w:hAnsi="Times New Roman" w:cs="Times New Roman"/>
        </w:rPr>
        <w:lastRenderedPageBreak/>
        <w:t>redimensionamento de valores a serem pagos à contratada, registrando em relatório a ser encaminhado ao gestor do contrato;</w:t>
      </w:r>
    </w:p>
    <w:p w14:paraId="25FBF426"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7.8.2.</w:t>
      </w:r>
      <w:r w:rsidRPr="008403C5">
        <w:rPr>
          <w:rFonts w:ascii="Times New Roman" w:hAnsi="Times New Roman" w:cs="Times New Roman"/>
        </w:rPr>
        <w:tab/>
        <w:t>O fiscal deverá verificar a efetiva realização dos dispêndios concernentes aos salários e obrigações trabalhistas, previdenciárias e com o FGTS do mês anterior, se for o caso, emitindo relatório que será encaminhado ao gestor do contrato.</w:t>
      </w:r>
    </w:p>
    <w:p w14:paraId="4DD22C6C"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7.9.</w:t>
      </w:r>
      <w:r w:rsidRPr="008403C5">
        <w:rPr>
          <w:rFonts w:ascii="Times New Roman" w:hAnsi="Times New Roman" w:cs="Times New Roman"/>
        </w:rPr>
        <w:tab/>
        <w:t xml:space="preserve"> Será considerado como ocorrido o recebimento provisório com a entrega do termo detalhado ou, em havendo mais de um a ser feito, com a entrega do último.</w:t>
      </w:r>
    </w:p>
    <w:p w14:paraId="12FF042D"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7.10.</w:t>
      </w:r>
      <w:r w:rsidRPr="008403C5">
        <w:rPr>
          <w:rFonts w:ascii="Times New Roman" w:hAnsi="Times New Roman" w:cs="Times New Roman"/>
        </w:rPr>
        <w:tab/>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5C4FFD20"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7.11.</w:t>
      </w:r>
      <w:r w:rsidRPr="008403C5">
        <w:rPr>
          <w:rFonts w:ascii="Times New Roman" w:hAnsi="Times New Roman" w:cs="Times New Roman"/>
        </w:rPr>
        <w:tab/>
        <w:t>A fiscalização não efetuará o ateste da última e/ou única medição de serviços até que sejam sanadas todas as eventuais pendências que possam vir a ser apontadas no recebimento provisório.</w:t>
      </w:r>
    </w:p>
    <w:p w14:paraId="03AE991C"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7.12.</w:t>
      </w:r>
      <w:r w:rsidRPr="008403C5">
        <w:rPr>
          <w:rFonts w:ascii="Times New Roman" w:hAnsi="Times New Roman" w:cs="Times New Roman"/>
        </w:rPr>
        <w:tab/>
        <w:t>O recebimento provisório também ficará sujeito, quando cabível, à conclusão de todos os testes de campo e à entrega dos Manuais e Instruções exigíveis.</w:t>
      </w:r>
    </w:p>
    <w:p w14:paraId="5C346A89"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7.13.</w:t>
      </w:r>
      <w:r w:rsidRPr="008403C5">
        <w:rPr>
          <w:rFonts w:ascii="Times New Roman" w:hAnsi="Times New Roman" w:cs="Times New Roman"/>
        </w:rPr>
        <w:tab/>
        <w:t>Os serviços poderão ser rejeitados, no todo ou em parte, quando em desacordo com as especificações constantes neste Termo de Referência e na proposta, sem prejuízo da aplicação das penalidades.</w:t>
      </w:r>
    </w:p>
    <w:p w14:paraId="61E7FFC8"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7.14.</w:t>
      </w:r>
      <w:r w:rsidRPr="008403C5">
        <w:rPr>
          <w:rFonts w:ascii="Times New Roman" w:hAnsi="Times New Roman" w:cs="Times New Roman"/>
        </w:rPr>
        <w:tab/>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1C4C78B8"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7.15.</w:t>
      </w:r>
      <w:r w:rsidRPr="008403C5">
        <w:rPr>
          <w:rFonts w:ascii="Times New Roman" w:hAnsi="Times New Roman" w:cs="Times New Roman"/>
        </w:rPr>
        <w:tab/>
        <w:t>Os serviços serão recebidos definitivamente no prazo de 30 (trinta) dias, contados do recebimento provisório, por servidor ou comissão designada pela autoridade competente, após a verificação da qualidade e quantidade do serviço e consequente aceitação mediante termo detalhado, obedecendo os seguintes procedimentos:</w:t>
      </w:r>
    </w:p>
    <w:p w14:paraId="3CBFF540"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7.15.1.</w:t>
      </w:r>
      <w:r w:rsidRPr="008403C5">
        <w:rPr>
          <w:rFonts w:ascii="Times New Roman" w:hAnsi="Times New Roman" w:cs="Times New Roman"/>
        </w:rPr>
        <w:tab/>
        <w:t>Emitir documento comprobatório da avaliação realizada pelo(s) fiscal(</w:t>
      </w:r>
      <w:proofErr w:type="spellStart"/>
      <w:r w:rsidRPr="008403C5">
        <w:rPr>
          <w:rFonts w:ascii="Times New Roman" w:hAnsi="Times New Roman" w:cs="Times New Roman"/>
        </w:rPr>
        <w:t>is</w:t>
      </w:r>
      <w:proofErr w:type="spellEnd"/>
      <w:r w:rsidRPr="008403C5">
        <w:rPr>
          <w:rFonts w:ascii="Times New Roman" w:hAnsi="Times New Roman" w:cs="Times New Roman"/>
        </w:rPr>
        <w:t>),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w:t>
      </w:r>
    </w:p>
    <w:p w14:paraId="2B3059E4"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7.15.2.</w:t>
      </w:r>
      <w:r w:rsidRPr="008403C5">
        <w:rPr>
          <w:rFonts w:ascii="Times New Roman" w:hAnsi="Times New Roman" w:cs="Times New Roman"/>
        </w:rPr>
        <w:tab/>
        <w:t>Realizar a análise dos relatórios e de toda a documentação apresentada pela fiscalização e, caso haja irregularidades que impeçam a liquidação e o pagamento da despesa, indicar as cláusulas contratuais pertinentes, solicitando ao Contratado, por escrito, as respectivas correções;</w:t>
      </w:r>
    </w:p>
    <w:p w14:paraId="78F537CC"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lastRenderedPageBreak/>
        <w:t>7.15.3.</w:t>
      </w:r>
      <w:r w:rsidRPr="008403C5">
        <w:rPr>
          <w:rFonts w:ascii="Times New Roman" w:hAnsi="Times New Roman" w:cs="Times New Roman"/>
        </w:rPr>
        <w:tab/>
        <w:t>Emitir Termo Detalhado para efeito de recebimento definitivo dos serviços prestados, com base nos relatórios e documentações apresentadas; e</w:t>
      </w:r>
    </w:p>
    <w:p w14:paraId="726A813F"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7.15.4.</w:t>
      </w:r>
      <w:r w:rsidRPr="008403C5">
        <w:rPr>
          <w:rFonts w:ascii="Times New Roman" w:hAnsi="Times New Roman" w:cs="Times New Roman"/>
        </w:rPr>
        <w:tab/>
        <w:t>Comunicar a empresa para que emita a Nota Fiscal ou Fatura, com o valor exato dimensionado pela fiscalização.</w:t>
      </w:r>
    </w:p>
    <w:p w14:paraId="7AED3CB4"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7.15.5.</w:t>
      </w:r>
      <w:r w:rsidRPr="008403C5">
        <w:rPr>
          <w:rFonts w:ascii="Times New Roman" w:hAnsi="Times New Roman" w:cs="Times New Roman"/>
        </w:rPr>
        <w:tab/>
        <w:t>Enviar a documentação pertinente ao setor de contratos para a formalização dos procedimentos de liquidação e pagamento, no valor dimensionado pela fiscalização e gestão.</w:t>
      </w:r>
    </w:p>
    <w:p w14:paraId="7A3EB81A"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7.16.</w:t>
      </w:r>
      <w:r w:rsidRPr="008403C5">
        <w:rPr>
          <w:rFonts w:ascii="Times New Roman" w:hAnsi="Times New Roman" w:cs="Times New Roman"/>
        </w:rPr>
        <w:tab/>
        <w:t>No caso de controvérsia sobre a execução do objeto, quanto à dimensão, qualidade e quantidade, deverá ser observado o teor do art. 143 da Lei nº 14.133, de 2021, comunicando-se à empresa para emissão de Nota Fiscal quanto à parcela incontroversa da execução do objeto, para efeito de liquidação e pagamento.</w:t>
      </w:r>
    </w:p>
    <w:p w14:paraId="5329C13E"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7.17.</w:t>
      </w:r>
      <w:r w:rsidRPr="008403C5">
        <w:rPr>
          <w:rFonts w:ascii="Times New Roman" w:hAnsi="Times New Roman" w:cs="Times New Roman"/>
        </w:rPr>
        <w:tab/>
        <w:t>Nenhum prazo de recebimento ocorrerá enquanto pendente a solução, pelo Contratado, de inconsistências verificadas na execução do objeto ou no instrumento de cobrança.</w:t>
      </w:r>
    </w:p>
    <w:p w14:paraId="03E754D9"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7.18.</w:t>
      </w:r>
      <w:r w:rsidRPr="008403C5">
        <w:rPr>
          <w:rFonts w:ascii="Times New Roman" w:hAnsi="Times New Roman" w:cs="Times New Roman"/>
        </w:rPr>
        <w:tab/>
        <w:t>O recebimento provisório ou definitivo não excluirá a responsabilidade civil pela solidez e pela segurança do serviço nem a responsabilidade ético-profissional pela perfeita execução do contrato.</w:t>
      </w:r>
    </w:p>
    <w:p w14:paraId="5CAEBCD5"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Liquidação</w:t>
      </w:r>
    </w:p>
    <w:p w14:paraId="368F1377"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7.19.</w:t>
      </w:r>
      <w:r w:rsidRPr="008403C5">
        <w:rPr>
          <w:rFonts w:ascii="Times New Roman" w:hAnsi="Times New Roman" w:cs="Times New Roman"/>
        </w:rPr>
        <w:tab/>
        <w:t>Recebida a Nota Fiscal ou documento de cobrança equivalente, correrá o prazo de dez dias úteis para fins de liquidação, na forma desta seção, prorrogáveis por igual período.</w:t>
      </w:r>
    </w:p>
    <w:p w14:paraId="29EA9F23"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7.20.</w:t>
      </w:r>
      <w:r w:rsidRPr="008403C5">
        <w:rPr>
          <w:rFonts w:ascii="Times New Roman" w:hAnsi="Times New Roman" w:cs="Times New Roman"/>
        </w:rPr>
        <w:tab/>
        <w:t>O prazo de que trata o item anterior será reduzido à metade, mantendo-se a possibilidade de prorrogação, no caso de contratações decorrentes de despesas cujos valores não ultrapassem o limite de que trata o inciso II do art. 75 da Lei nº 14.133, de 2021.</w:t>
      </w:r>
    </w:p>
    <w:p w14:paraId="28E7D290"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7.21.</w:t>
      </w:r>
      <w:r w:rsidRPr="008403C5">
        <w:rPr>
          <w:rFonts w:ascii="Times New Roman" w:hAnsi="Times New Roman" w:cs="Times New Roman"/>
        </w:rPr>
        <w:tab/>
        <w:t xml:space="preserve">Para fins de liquidação, o setor competente deverá verificar se a nota fiscal ou instrumento de cobrança equivalente apresentado expressa os elementos necessários e essenciais do documento, tais como: </w:t>
      </w:r>
    </w:p>
    <w:p w14:paraId="6085B7C6"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7.21.1.</w:t>
      </w:r>
      <w:r w:rsidRPr="008403C5">
        <w:rPr>
          <w:rFonts w:ascii="Times New Roman" w:hAnsi="Times New Roman" w:cs="Times New Roman"/>
        </w:rPr>
        <w:tab/>
        <w:t>O prazo de validade;</w:t>
      </w:r>
    </w:p>
    <w:p w14:paraId="04E8227E"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7.21.2.</w:t>
      </w:r>
      <w:r w:rsidRPr="008403C5">
        <w:rPr>
          <w:rFonts w:ascii="Times New Roman" w:hAnsi="Times New Roman" w:cs="Times New Roman"/>
        </w:rPr>
        <w:tab/>
        <w:t xml:space="preserve">A data da emissão; </w:t>
      </w:r>
    </w:p>
    <w:p w14:paraId="587FDD0A"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7.21.3.</w:t>
      </w:r>
      <w:r w:rsidRPr="008403C5">
        <w:rPr>
          <w:rFonts w:ascii="Times New Roman" w:hAnsi="Times New Roman" w:cs="Times New Roman"/>
        </w:rPr>
        <w:tab/>
        <w:t xml:space="preserve">Os dados do contrato e do órgão contratante; </w:t>
      </w:r>
    </w:p>
    <w:p w14:paraId="3C4FBB59"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7.21.4.</w:t>
      </w:r>
      <w:r w:rsidRPr="008403C5">
        <w:rPr>
          <w:rFonts w:ascii="Times New Roman" w:hAnsi="Times New Roman" w:cs="Times New Roman"/>
        </w:rPr>
        <w:tab/>
        <w:t xml:space="preserve">O período respectivo de execução do contrato; </w:t>
      </w:r>
    </w:p>
    <w:p w14:paraId="59D322B1"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7.21.5.</w:t>
      </w:r>
      <w:r w:rsidRPr="008403C5">
        <w:rPr>
          <w:rFonts w:ascii="Times New Roman" w:hAnsi="Times New Roman" w:cs="Times New Roman"/>
        </w:rPr>
        <w:tab/>
        <w:t xml:space="preserve">O valor a pagar; e </w:t>
      </w:r>
    </w:p>
    <w:p w14:paraId="13E6C695"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7.21.6.</w:t>
      </w:r>
      <w:r w:rsidRPr="008403C5">
        <w:rPr>
          <w:rFonts w:ascii="Times New Roman" w:hAnsi="Times New Roman" w:cs="Times New Roman"/>
        </w:rPr>
        <w:tab/>
        <w:t>Eventual destaque do valor de retenções tributárias cabíveis.</w:t>
      </w:r>
    </w:p>
    <w:p w14:paraId="175CF349"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7.22.</w:t>
      </w:r>
      <w:r w:rsidRPr="008403C5">
        <w:rPr>
          <w:rFonts w:ascii="Times New Roman" w:hAnsi="Times New Roman" w:cs="Times New Roman"/>
        </w:rPr>
        <w:tab/>
        <w:t>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14:paraId="63EDF0FD"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7.23.</w:t>
      </w:r>
      <w:r w:rsidRPr="008403C5">
        <w:rPr>
          <w:rFonts w:ascii="Times New Roman" w:hAnsi="Times New Roman" w:cs="Times New Roman"/>
        </w:rPr>
        <w:tab/>
        <w:t>A nota fiscal ou instrumento de cobrança equivalente deverá ser obrigatoriamente acompanhado da comprovação da regularidade fiscal, constatada mediante consulta aos sítios eletrônicos oficiais ou à documentação mencionada no art. 68 da Lei nº 14.133, de 2021.</w:t>
      </w:r>
    </w:p>
    <w:p w14:paraId="3A42FFF7"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lastRenderedPageBreak/>
        <w:t>7.24.</w:t>
      </w:r>
      <w:r w:rsidRPr="008403C5">
        <w:rPr>
          <w:rFonts w:ascii="Times New Roman" w:hAnsi="Times New Roman" w:cs="Times New Roman"/>
        </w:rPr>
        <w:tab/>
        <w:t>A Administração deverá realizar consulta nos sítios eletrônicos oficiais para:</w:t>
      </w:r>
    </w:p>
    <w:p w14:paraId="37626958"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7.24.1.</w:t>
      </w:r>
      <w:r w:rsidRPr="008403C5">
        <w:rPr>
          <w:rFonts w:ascii="Times New Roman" w:hAnsi="Times New Roman" w:cs="Times New Roman"/>
        </w:rPr>
        <w:tab/>
        <w:t>Verificar a manutenção das condições de habilitação exigidas;</w:t>
      </w:r>
    </w:p>
    <w:p w14:paraId="55701ACD"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7.24.2.</w:t>
      </w:r>
      <w:r w:rsidRPr="008403C5">
        <w:rPr>
          <w:rFonts w:ascii="Times New Roman" w:hAnsi="Times New Roman" w:cs="Times New Roman"/>
        </w:rPr>
        <w:tab/>
        <w:t>Identificar possível razão que impeça a participação em licitação/contratação no âmbito do órgão ou entidade, tais como a proibição de contratar com a Administração ou com o Poder Público, bem como ocorrências impeditivas indiretas.</w:t>
      </w:r>
    </w:p>
    <w:p w14:paraId="48C10F67"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7.25.</w:t>
      </w:r>
      <w:r w:rsidRPr="008403C5">
        <w:rPr>
          <w:rFonts w:ascii="Times New Roman" w:hAnsi="Times New Roman" w:cs="Times New Roman"/>
        </w:rPr>
        <w:tab/>
        <w:t>Constatando-se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3178AF98"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7.26.</w:t>
      </w:r>
      <w:r w:rsidRPr="008403C5">
        <w:rPr>
          <w:rFonts w:ascii="Times New Roman" w:hAnsi="Times New Roman" w:cs="Times New Roman"/>
        </w:rPr>
        <w:tab/>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7DF53780"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7.27.</w:t>
      </w:r>
      <w:r w:rsidRPr="008403C5">
        <w:rPr>
          <w:rFonts w:ascii="Times New Roman" w:hAnsi="Times New Roman" w:cs="Times New Roman"/>
        </w:rPr>
        <w:tab/>
        <w:t xml:space="preserve">Persistindo a irregularidade, o Contratante deverá adotar as medidas necessárias à rescisão contratual nos autos do processo administrativo correspondente, assegurada ao Contratado a ampla defesa. </w:t>
      </w:r>
    </w:p>
    <w:p w14:paraId="435F2F2C"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7.28.</w:t>
      </w:r>
      <w:r w:rsidRPr="008403C5">
        <w:rPr>
          <w:rFonts w:ascii="Times New Roman" w:hAnsi="Times New Roman" w:cs="Times New Roman"/>
        </w:rPr>
        <w:tab/>
        <w:t>Havendo a efetiva execução do objeto, os pagamentos serão realizados normalmente, até que se decida pela rescisão do contrato, caso o Contratado não regularize sua situação.</w:t>
      </w:r>
    </w:p>
    <w:p w14:paraId="35A1869F"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Prazo de pagamento</w:t>
      </w:r>
    </w:p>
    <w:p w14:paraId="10B66139"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7.29.</w:t>
      </w:r>
      <w:r w:rsidRPr="008403C5">
        <w:rPr>
          <w:rFonts w:ascii="Times New Roman" w:hAnsi="Times New Roman" w:cs="Times New Roman"/>
        </w:rPr>
        <w:tab/>
        <w:t>O pagamento será efetuado no prazo máximo de até 10 (dez) dias úteis contados da finalização da liquidação da despesa, conforme seção anterior.</w:t>
      </w:r>
    </w:p>
    <w:p w14:paraId="3FBC8AEB"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7.30.</w:t>
      </w:r>
      <w:r w:rsidRPr="008403C5">
        <w:rPr>
          <w:rFonts w:ascii="Times New Roman" w:hAnsi="Times New Roman" w:cs="Times New Roman"/>
        </w:rPr>
        <w:tab/>
        <w:t>No caso de atraso pelo Contratante, os valores devidos ao Contratado serão atualizados monetariamente entre o termo final do prazo de pagamento até a data de sua efetiva realização, mediante aplicação do índice INCC-M de correção monetária.</w:t>
      </w:r>
    </w:p>
    <w:p w14:paraId="3F2A3097"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Forma de pagamento</w:t>
      </w:r>
    </w:p>
    <w:p w14:paraId="5096D4D1"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7.31.</w:t>
      </w:r>
      <w:r w:rsidRPr="008403C5">
        <w:rPr>
          <w:rFonts w:ascii="Times New Roman" w:hAnsi="Times New Roman" w:cs="Times New Roman"/>
        </w:rPr>
        <w:tab/>
        <w:t>O pagamento será realizado por meio de ordem bancária, para crédito em banco, agência e conta corrente indicados pelo Contratado.</w:t>
      </w:r>
    </w:p>
    <w:p w14:paraId="456F2619"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7.32.</w:t>
      </w:r>
      <w:r w:rsidRPr="008403C5">
        <w:rPr>
          <w:rFonts w:ascii="Times New Roman" w:hAnsi="Times New Roman" w:cs="Times New Roman"/>
        </w:rPr>
        <w:tab/>
        <w:t>Será considerada data do pagamento o dia em que constar como emitida a ordem bancária para pagamento.</w:t>
      </w:r>
    </w:p>
    <w:p w14:paraId="5415748F"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7.33.</w:t>
      </w:r>
      <w:r w:rsidRPr="008403C5">
        <w:rPr>
          <w:rFonts w:ascii="Times New Roman" w:hAnsi="Times New Roman" w:cs="Times New Roman"/>
        </w:rPr>
        <w:tab/>
        <w:t>Quando do pagamento, será efetuada a retenção tributária prevista na legislação aplicável.</w:t>
      </w:r>
    </w:p>
    <w:p w14:paraId="562565DE"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7.34.</w:t>
      </w:r>
      <w:r w:rsidRPr="008403C5">
        <w:rPr>
          <w:rFonts w:ascii="Times New Roman" w:hAnsi="Times New Roman" w:cs="Times New Roman"/>
        </w:rPr>
        <w:tab/>
        <w:t>Independentemente do percentual de tributo inserido na planilha, quando houver, serão retidos na fonte, quando da realização do pagamento, os percentuais estabelecidos na legislação vigente.</w:t>
      </w:r>
    </w:p>
    <w:p w14:paraId="73C1E045"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7.35.</w:t>
      </w:r>
      <w:r w:rsidRPr="008403C5">
        <w:rPr>
          <w:rFonts w:ascii="Times New Roman" w:hAnsi="Times New Roman" w:cs="Times New Roman"/>
        </w:rPr>
        <w:tab/>
        <w:t xml:space="preserve">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w:t>
      </w:r>
      <w:r w:rsidRPr="008403C5">
        <w:rPr>
          <w:rFonts w:ascii="Times New Roman" w:hAnsi="Times New Roman" w:cs="Times New Roman"/>
        </w:rPr>
        <w:lastRenderedPageBreak/>
        <w:t>meio de documento oficial, de que faz jus ao tratamento tributário favorecido previsto na referida Lei Complementar.</w:t>
      </w:r>
    </w:p>
    <w:p w14:paraId="6FC5A31C"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Reajuste</w:t>
      </w:r>
    </w:p>
    <w:p w14:paraId="0C0F66AE"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7.36.</w:t>
      </w:r>
      <w:r w:rsidRPr="008403C5">
        <w:rPr>
          <w:rFonts w:ascii="Times New Roman" w:hAnsi="Times New Roman" w:cs="Times New Roman"/>
        </w:rPr>
        <w:tab/>
        <w:t>Os preços inicialmente contratados são fixos e irreajustáveis no prazo de um ano contado da data-base do orçamento estimado.</w:t>
      </w:r>
    </w:p>
    <w:p w14:paraId="45E2DE47"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7.37.</w:t>
      </w:r>
      <w:r w:rsidRPr="008403C5">
        <w:rPr>
          <w:rFonts w:ascii="Times New Roman" w:hAnsi="Times New Roman" w:cs="Times New Roman"/>
        </w:rPr>
        <w:tab/>
        <w:t>Após o interregno de um ano, e independentemente de pedido do Contratado, os preços iniciais serão reajustados, mediante a aplicação, pelo Contratante, do índice INCC-M exclusivamente para as obrigações iniciadas e concluídas após a ocorrência da anualidade.</w:t>
      </w:r>
    </w:p>
    <w:p w14:paraId="2B76250F"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7.38.</w:t>
      </w:r>
      <w:r w:rsidRPr="008403C5">
        <w:rPr>
          <w:rFonts w:ascii="Times New Roman" w:hAnsi="Times New Roman" w:cs="Times New Roman"/>
        </w:rPr>
        <w:tab/>
        <w:t>Nos reajustes subsequentes ao primeiro, o interregno mínimo de um ano será contado a partir dos efeitos financeiros do último reajuste.</w:t>
      </w:r>
    </w:p>
    <w:p w14:paraId="6E786D10"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7.39.</w:t>
      </w:r>
      <w:r w:rsidRPr="008403C5">
        <w:rPr>
          <w:rFonts w:ascii="Times New Roman" w:hAnsi="Times New Roman" w:cs="Times New Roman"/>
        </w:rPr>
        <w:tab/>
        <w:t>No caso de atraso ou não divulgação do(s) índice (s) de reajustamento, o Contratante pagará ao Contratado a importância calculada pela última variação conhecida, liquidando a diferença correspondente tão logo seja(m) divulgado(s) o(s) índice(s) definitivo(s).</w:t>
      </w:r>
    </w:p>
    <w:p w14:paraId="1CFCFCFF"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7.40.</w:t>
      </w:r>
      <w:r w:rsidRPr="008403C5">
        <w:rPr>
          <w:rFonts w:ascii="Times New Roman" w:hAnsi="Times New Roman" w:cs="Times New Roman"/>
        </w:rPr>
        <w:tab/>
        <w:t>Nas aferições finais, o(s) índice(s) utilizado(s) para reajuste será(</w:t>
      </w:r>
      <w:proofErr w:type="spellStart"/>
      <w:r w:rsidRPr="008403C5">
        <w:rPr>
          <w:rFonts w:ascii="Times New Roman" w:hAnsi="Times New Roman" w:cs="Times New Roman"/>
        </w:rPr>
        <w:t>ão</w:t>
      </w:r>
      <w:proofErr w:type="spellEnd"/>
      <w:r w:rsidRPr="008403C5">
        <w:rPr>
          <w:rFonts w:ascii="Times New Roman" w:hAnsi="Times New Roman" w:cs="Times New Roman"/>
        </w:rPr>
        <w:t>), obrigatoriamente, o(s) definitivo(s).</w:t>
      </w:r>
    </w:p>
    <w:p w14:paraId="3082719E"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7.41.</w:t>
      </w:r>
      <w:r w:rsidRPr="008403C5">
        <w:rPr>
          <w:rFonts w:ascii="Times New Roman" w:hAnsi="Times New Roman" w:cs="Times New Roman"/>
        </w:rPr>
        <w:tab/>
        <w:t>Caso o(s) índice(s) estabelecido(s) para reajustamento venha(m) a ser extinto(s) ou de qualquer forma não possa(m) mais ser utilizado(s), será(</w:t>
      </w:r>
      <w:proofErr w:type="spellStart"/>
      <w:r w:rsidRPr="008403C5">
        <w:rPr>
          <w:rFonts w:ascii="Times New Roman" w:hAnsi="Times New Roman" w:cs="Times New Roman"/>
        </w:rPr>
        <w:t>ão</w:t>
      </w:r>
      <w:proofErr w:type="spellEnd"/>
      <w:r w:rsidRPr="008403C5">
        <w:rPr>
          <w:rFonts w:ascii="Times New Roman" w:hAnsi="Times New Roman" w:cs="Times New Roman"/>
        </w:rPr>
        <w:t>) adotado(s), em substituição, o(s) que vier(em) a ser determinado(s) pela legislação então em vigor.</w:t>
      </w:r>
    </w:p>
    <w:p w14:paraId="174D8FF8"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7.42.</w:t>
      </w:r>
      <w:r w:rsidRPr="008403C5">
        <w:rPr>
          <w:rFonts w:ascii="Times New Roman" w:hAnsi="Times New Roman" w:cs="Times New Roman"/>
        </w:rPr>
        <w:tab/>
        <w:t>Na ausência de previsão legal quanto ao índice substituto, as partes elegerão novo índice oficial, para reajustamento do preço do valor remanescente, por meio de termo aditivo.</w:t>
      </w:r>
    </w:p>
    <w:p w14:paraId="1598E135"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7.43.</w:t>
      </w:r>
      <w:r w:rsidRPr="008403C5">
        <w:rPr>
          <w:rFonts w:ascii="Times New Roman" w:hAnsi="Times New Roman" w:cs="Times New Roman"/>
        </w:rPr>
        <w:tab/>
        <w:t>O reajuste será realizado por apostilamento.</w:t>
      </w:r>
    </w:p>
    <w:p w14:paraId="25046601" w14:textId="77777777" w:rsidR="003700A5" w:rsidRPr="008403C5" w:rsidRDefault="003700A5" w:rsidP="003700A5">
      <w:pPr>
        <w:spacing w:before="0" w:after="0"/>
        <w:ind w:left="284" w:right="-1" w:hanging="284"/>
        <w:rPr>
          <w:rFonts w:ascii="Times New Roman" w:hAnsi="Times New Roman" w:cs="Times New Roman"/>
        </w:rPr>
      </w:pPr>
    </w:p>
    <w:p w14:paraId="34C9ED3C"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8.</w:t>
      </w:r>
      <w:r w:rsidRPr="008403C5">
        <w:rPr>
          <w:rFonts w:ascii="Times New Roman" w:hAnsi="Times New Roman" w:cs="Times New Roman"/>
          <w:b/>
          <w:bCs/>
        </w:rPr>
        <w:tab/>
        <w:t>INFRAÇÕES E SANÇÕES ADMINISTRATIVAS</w:t>
      </w:r>
    </w:p>
    <w:p w14:paraId="419EEB77"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8.1.</w:t>
      </w:r>
      <w:r w:rsidRPr="008403C5">
        <w:rPr>
          <w:rFonts w:ascii="Times New Roman" w:hAnsi="Times New Roman" w:cs="Times New Roman"/>
        </w:rPr>
        <w:tab/>
        <w:t>Comete infração administrativa, nos termos da Lei nº 14.133, de 2021, o Contratado que:</w:t>
      </w:r>
    </w:p>
    <w:p w14:paraId="08BC17D0" w14:textId="77777777" w:rsidR="003700A5" w:rsidRPr="008403C5" w:rsidRDefault="003700A5" w:rsidP="003700A5">
      <w:pPr>
        <w:spacing w:before="0" w:after="0"/>
        <w:ind w:left="851" w:right="-1" w:hanging="284"/>
        <w:rPr>
          <w:rFonts w:ascii="Times New Roman" w:hAnsi="Times New Roman" w:cs="Times New Roman"/>
        </w:rPr>
      </w:pPr>
      <w:r w:rsidRPr="008403C5">
        <w:rPr>
          <w:rFonts w:ascii="Times New Roman" w:hAnsi="Times New Roman" w:cs="Times New Roman"/>
        </w:rPr>
        <w:t>a)  der causa à inexecução parcial do contrato;</w:t>
      </w:r>
    </w:p>
    <w:p w14:paraId="32EA4966" w14:textId="77777777" w:rsidR="003700A5" w:rsidRPr="008403C5" w:rsidRDefault="003700A5" w:rsidP="003700A5">
      <w:pPr>
        <w:spacing w:before="0" w:after="0"/>
        <w:ind w:left="851" w:right="-1" w:hanging="284"/>
        <w:rPr>
          <w:rFonts w:ascii="Times New Roman" w:hAnsi="Times New Roman" w:cs="Times New Roman"/>
        </w:rPr>
      </w:pPr>
      <w:r w:rsidRPr="008403C5">
        <w:rPr>
          <w:rFonts w:ascii="Times New Roman" w:hAnsi="Times New Roman" w:cs="Times New Roman"/>
        </w:rPr>
        <w:t>b)  der causa à inexecução parcial do contrato que cause grave dano à Administração ou ao funcionamento dos serviços públicos ou ao interesse coletivo;</w:t>
      </w:r>
    </w:p>
    <w:p w14:paraId="610EA8CB" w14:textId="77777777" w:rsidR="003700A5" w:rsidRPr="008403C5" w:rsidRDefault="003700A5" w:rsidP="003700A5">
      <w:pPr>
        <w:spacing w:before="0" w:after="0"/>
        <w:ind w:left="851" w:right="-1" w:hanging="284"/>
        <w:rPr>
          <w:rFonts w:ascii="Times New Roman" w:hAnsi="Times New Roman" w:cs="Times New Roman"/>
        </w:rPr>
      </w:pPr>
      <w:r w:rsidRPr="008403C5">
        <w:rPr>
          <w:rFonts w:ascii="Times New Roman" w:hAnsi="Times New Roman" w:cs="Times New Roman"/>
        </w:rPr>
        <w:t>c)  der causa à inexecução total do contrato;</w:t>
      </w:r>
    </w:p>
    <w:p w14:paraId="0A6E4C51" w14:textId="77777777" w:rsidR="003700A5" w:rsidRPr="008403C5" w:rsidRDefault="003700A5" w:rsidP="003700A5">
      <w:pPr>
        <w:spacing w:before="0" w:after="0"/>
        <w:ind w:left="851" w:right="-1" w:hanging="284"/>
        <w:rPr>
          <w:rFonts w:ascii="Times New Roman" w:hAnsi="Times New Roman" w:cs="Times New Roman"/>
        </w:rPr>
      </w:pPr>
      <w:r w:rsidRPr="008403C5">
        <w:rPr>
          <w:rFonts w:ascii="Times New Roman" w:hAnsi="Times New Roman" w:cs="Times New Roman"/>
        </w:rPr>
        <w:t>d)  ensejar o retardamento da execução ou da entrega do objeto da contratação sem motivo justificado;</w:t>
      </w:r>
    </w:p>
    <w:p w14:paraId="4472675D" w14:textId="77777777" w:rsidR="003700A5" w:rsidRPr="008403C5" w:rsidRDefault="003700A5" w:rsidP="003700A5">
      <w:pPr>
        <w:spacing w:before="0" w:after="0"/>
        <w:ind w:left="851" w:right="-1" w:hanging="284"/>
        <w:rPr>
          <w:rFonts w:ascii="Times New Roman" w:hAnsi="Times New Roman" w:cs="Times New Roman"/>
        </w:rPr>
      </w:pPr>
      <w:r w:rsidRPr="008403C5">
        <w:rPr>
          <w:rFonts w:ascii="Times New Roman" w:hAnsi="Times New Roman" w:cs="Times New Roman"/>
        </w:rPr>
        <w:t>e)  apresentar documentação falsa ou prestar declaração falsa durante a execução do contrato;</w:t>
      </w:r>
    </w:p>
    <w:p w14:paraId="73F42D81" w14:textId="77777777" w:rsidR="003700A5" w:rsidRPr="008403C5" w:rsidRDefault="003700A5" w:rsidP="003700A5">
      <w:pPr>
        <w:spacing w:before="0" w:after="0"/>
        <w:ind w:left="851" w:right="-1" w:hanging="284"/>
        <w:rPr>
          <w:rFonts w:ascii="Times New Roman" w:hAnsi="Times New Roman" w:cs="Times New Roman"/>
        </w:rPr>
      </w:pPr>
      <w:r w:rsidRPr="008403C5">
        <w:rPr>
          <w:rFonts w:ascii="Times New Roman" w:hAnsi="Times New Roman" w:cs="Times New Roman"/>
        </w:rPr>
        <w:t>f)  praticar ato fraudulento na execução do contrato;</w:t>
      </w:r>
    </w:p>
    <w:p w14:paraId="79829C14" w14:textId="77777777" w:rsidR="003700A5" w:rsidRPr="008403C5" w:rsidRDefault="003700A5" w:rsidP="003700A5">
      <w:pPr>
        <w:spacing w:before="0" w:after="0"/>
        <w:ind w:left="851" w:right="-1" w:hanging="284"/>
        <w:rPr>
          <w:rFonts w:ascii="Times New Roman" w:hAnsi="Times New Roman" w:cs="Times New Roman"/>
        </w:rPr>
      </w:pPr>
      <w:r w:rsidRPr="008403C5">
        <w:rPr>
          <w:rFonts w:ascii="Times New Roman" w:hAnsi="Times New Roman" w:cs="Times New Roman"/>
        </w:rPr>
        <w:t>g)  comportar-se de modo inidôneo ou cometer fraude de qualquer natureza;</w:t>
      </w:r>
    </w:p>
    <w:p w14:paraId="22AAB2F6" w14:textId="77777777" w:rsidR="003700A5" w:rsidRPr="008403C5" w:rsidRDefault="003700A5" w:rsidP="003700A5">
      <w:pPr>
        <w:spacing w:before="0" w:after="0"/>
        <w:ind w:left="851" w:right="-1" w:hanging="284"/>
        <w:rPr>
          <w:rFonts w:ascii="Times New Roman" w:hAnsi="Times New Roman" w:cs="Times New Roman"/>
        </w:rPr>
      </w:pPr>
      <w:r w:rsidRPr="008403C5">
        <w:rPr>
          <w:rFonts w:ascii="Times New Roman" w:hAnsi="Times New Roman" w:cs="Times New Roman"/>
        </w:rPr>
        <w:t>h)  praticar ato lesivo previsto no art. 5º da Lei nº 12.846, de 1º de agosto de 2013.</w:t>
      </w:r>
    </w:p>
    <w:p w14:paraId="09A05F69"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8.2.</w:t>
      </w:r>
      <w:r w:rsidRPr="008403C5">
        <w:rPr>
          <w:rFonts w:ascii="Times New Roman" w:hAnsi="Times New Roman" w:cs="Times New Roman"/>
        </w:rPr>
        <w:tab/>
        <w:t>Serão aplicadas ao Contratado que incorrer nas infrações acima descritas as seguintes sanções:</w:t>
      </w:r>
    </w:p>
    <w:p w14:paraId="68790307"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lastRenderedPageBreak/>
        <w:t>8.2.1.</w:t>
      </w:r>
      <w:r w:rsidRPr="008403C5">
        <w:rPr>
          <w:rFonts w:ascii="Times New Roman" w:hAnsi="Times New Roman" w:cs="Times New Roman"/>
        </w:rPr>
        <w:tab/>
        <w:t>Advertência, quando o Contratado der causa à inexecução parcial do contrato, sempre que não se justificar a imposição de penalidade mais grave;</w:t>
      </w:r>
    </w:p>
    <w:p w14:paraId="0576131D"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8.2.2.</w:t>
      </w:r>
      <w:r w:rsidRPr="008403C5">
        <w:rPr>
          <w:rFonts w:ascii="Times New Roman" w:hAnsi="Times New Roman" w:cs="Times New Roman"/>
        </w:rPr>
        <w:tab/>
        <w:t>Impedimento de licitar e contratar, quando praticadas as condutas descritas nas alíneas “b”, “c” e “d” do subitem acima, sempre que não se justificar a imposição de penalidade mais grave;</w:t>
      </w:r>
    </w:p>
    <w:p w14:paraId="1DC804C5"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8.2.3.</w:t>
      </w:r>
      <w:r w:rsidRPr="008403C5">
        <w:rPr>
          <w:rFonts w:ascii="Times New Roman" w:hAnsi="Times New Roman" w:cs="Times New Roman"/>
        </w:rPr>
        <w:tab/>
        <w:t>Declaração de inidoneidade para licitar e contratar, quando praticadas as condutas descritas nas alíneas “e”, “f”, “g” e “h” do subitem acima, bem como nas alíneas “b”, “c” e “d”, que justifiquem a imposição de penalidade mais grave.</w:t>
      </w:r>
    </w:p>
    <w:p w14:paraId="1D6BCD1D"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8.2.4.</w:t>
      </w:r>
      <w:r w:rsidRPr="008403C5">
        <w:rPr>
          <w:rFonts w:ascii="Times New Roman" w:hAnsi="Times New Roman" w:cs="Times New Roman"/>
        </w:rPr>
        <w:tab/>
        <w:t>Multa:</w:t>
      </w:r>
    </w:p>
    <w:p w14:paraId="4BA89951"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8.2.4.1. Moratória, para as infrações descritas no item “d”, de 2% (dois por cento) por dia de atraso injustificado sobre o valor da parcela inadimplida, até o limite de 15 (quinze) dias.</w:t>
      </w:r>
    </w:p>
    <w:p w14:paraId="1E0E92B7"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8.2.4.2. Moratória de 0,07% (sete centésimos por cento) por dia de atraso injustificado sobre o valor total do contrato, até o máximo de 2% (dois por cento), pela inobservância do prazo fixado para apresentação, suplementação ou reposição da garantia;</w:t>
      </w:r>
    </w:p>
    <w:p w14:paraId="301F4B9A"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8.2.4.2.1.O atraso superior a 25 (vinte e cinco) dias para apresentação, suplementação ou reposição da garantia autoriza a Administração a promover a extinção do contrato por descumprimento ou cumprimento irregular de suas cláusulas, conforme dispõe o inciso I do art. 137 da Lei n. 14.133, de 2021.</w:t>
      </w:r>
    </w:p>
    <w:p w14:paraId="3BA4139C"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8.2.4.3Compensatória, para as infrações descritas acima alíneas “e” a “h” de 15% (quinze por cento) a 30% (trinta por cento) do valor da contratação.</w:t>
      </w:r>
    </w:p>
    <w:p w14:paraId="20911826"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8.2.4.4. Compensatória, para a inexecução total do contrato prevista acima na alínea “c”, de 20% (vinte por cento) a 30% (trinta por cento) do valor da contratação.</w:t>
      </w:r>
    </w:p>
    <w:p w14:paraId="7958206D"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8.2.4.5. Compensatória, para a infração descrita acima na alínea “b”, de 10% (dez por cento) a 20% (vinte por cento) do valor da contratação.</w:t>
      </w:r>
    </w:p>
    <w:p w14:paraId="44E0DF65"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8.2.4.6. Compensatória, em substituição à multa moratória para a infração descrita acima na alínea “d”, de 0,5% (meio por cento) a 1% (um por cento) do valor da contratação.</w:t>
      </w:r>
    </w:p>
    <w:p w14:paraId="01E711D1"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8.2.4.7. Compensatória, para a infração descrita acima na alínea “a”, de 1% (um por cento) a 5% (cinco por cento) do valor da contratação.</w:t>
      </w:r>
    </w:p>
    <w:p w14:paraId="18A33686"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8.3.</w:t>
      </w:r>
      <w:r w:rsidRPr="008403C5">
        <w:rPr>
          <w:rFonts w:ascii="Times New Roman" w:hAnsi="Times New Roman" w:cs="Times New Roman"/>
        </w:rPr>
        <w:tab/>
        <w:t>A aplicação das sanções previstas neste Termo de Referência não exclui, em hipótese alguma, a obrigação de reparação integral do dano causado ao Contratante.</w:t>
      </w:r>
    </w:p>
    <w:p w14:paraId="486F83FB"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8.4.</w:t>
      </w:r>
      <w:r w:rsidRPr="008403C5">
        <w:rPr>
          <w:rFonts w:ascii="Times New Roman" w:hAnsi="Times New Roman" w:cs="Times New Roman"/>
        </w:rPr>
        <w:tab/>
        <w:t>Todas as sanções previstas neste Termo de Referência poderão ser aplicadas cumulativamente com a multa.</w:t>
      </w:r>
    </w:p>
    <w:p w14:paraId="792701BB"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8.5.</w:t>
      </w:r>
      <w:r w:rsidRPr="008403C5">
        <w:rPr>
          <w:rFonts w:ascii="Times New Roman" w:hAnsi="Times New Roman" w:cs="Times New Roman"/>
        </w:rPr>
        <w:tab/>
        <w:t>Antes da aplicação da multa será facultada a defesa do interessado no prazo de 15 (quinze) dias úteis, contado da data de sua intimação.</w:t>
      </w:r>
    </w:p>
    <w:p w14:paraId="687A630F"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lastRenderedPageBreak/>
        <w:t>8.6.</w:t>
      </w:r>
      <w:r w:rsidRPr="008403C5">
        <w:rPr>
          <w:rFonts w:ascii="Times New Roman" w:hAnsi="Times New Roman" w:cs="Times New Roman"/>
        </w:rPr>
        <w:tab/>
        <w:t>Se a multa aplicada e as indenizações cabíveis forem superiores ao valor do pagamento eventualmente devido pelo Contratante ao Contratado, além da perda desse valor, a diferença será descontada da garantia prestada ou será cobrada judicialmente.</w:t>
      </w:r>
    </w:p>
    <w:p w14:paraId="3A3727AB"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8.7.</w:t>
      </w:r>
      <w:r w:rsidRPr="008403C5">
        <w:rPr>
          <w:rFonts w:ascii="Times New Roman" w:hAnsi="Times New Roman" w:cs="Times New Roman"/>
        </w:rPr>
        <w:tab/>
        <w:t>A multa poderá ser recolhida administrativamente no prazo máximo de 5 (cinco) dias, a contar da data do recebimento da comunicação enviada pela autoridade competente.</w:t>
      </w:r>
    </w:p>
    <w:p w14:paraId="70F99034"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8.8.</w:t>
      </w:r>
      <w:r w:rsidRPr="008403C5">
        <w:rPr>
          <w:rFonts w:ascii="Times New Roman" w:hAnsi="Times New Roman" w:cs="Times New Roman"/>
        </w:rPr>
        <w:tab/>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311E06DD"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8.8.1.</w:t>
      </w:r>
      <w:r w:rsidRPr="008403C5">
        <w:rPr>
          <w:rFonts w:ascii="Times New Roman" w:hAnsi="Times New Roman" w:cs="Times New Roman"/>
        </w:rPr>
        <w:tab/>
        <w:t>Para a garantia da ampla defesa e contraditório, as notificações serão enviadas eletronicamente para os endereços de e-mail informados na proposta comercial.</w:t>
      </w:r>
    </w:p>
    <w:p w14:paraId="67FA1C62"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8.8.2.</w:t>
      </w:r>
      <w:r w:rsidRPr="008403C5">
        <w:rPr>
          <w:rFonts w:ascii="Times New Roman" w:hAnsi="Times New Roman" w:cs="Times New Roman"/>
        </w:rPr>
        <w:tab/>
        <w:t>Os endereços de e-mail informados na proposta comercial serão considerados de uso contínuo da empresa, não cabendo alegação de desconhecimento das comunicações a eles comprovadamente enviadas.</w:t>
      </w:r>
    </w:p>
    <w:p w14:paraId="011FBC1D"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8.9.</w:t>
      </w:r>
      <w:r w:rsidRPr="008403C5">
        <w:rPr>
          <w:rFonts w:ascii="Times New Roman" w:hAnsi="Times New Roman" w:cs="Times New Roman"/>
        </w:rPr>
        <w:tab/>
        <w:t>Na aplicação das sanções serão considerados:</w:t>
      </w:r>
    </w:p>
    <w:p w14:paraId="39805637"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8.9.1.</w:t>
      </w:r>
      <w:r w:rsidRPr="008403C5">
        <w:rPr>
          <w:rFonts w:ascii="Times New Roman" w:hAnsi="Times New Roman" w:cs="Times New Roman"/>
        </w:rPr>
        <w:tab/>
        <w:t>a natureza e a gravidade da infração cometida;</w:t>
      </w:r>
    </w:p>
    <w:p w14:paraId="0B783FDF"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8.9.2.</w:t>
      </w:r>
      <w:r w:rsidRPr="008403C5">
        <w:rPr>
          <w:rFonts w:ascii="Times New Roman" w:hAnsi="Times New Roman" w:cs="Times New Roman"/>
        </w:rPr>
        <w:tab/>
        <w:t>as peculiaridades do caso concreto;</w:t>
      </w:r>
    </w:p>
    <w:p w14:paraId="1F36FC52"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8.9.3.</w:t>
      </w:r>
      <w:r w:rsidRPr="008403C5">
        <w:rPr>
          <w:rFonts w:ascii="Times New Roman" w:hAnsi="Times New Roman" w:cs="Times New Roman"/>
        </w:rPr>
        <w:tab/>
        <w:t>as circunstâncias agravantes ou atenuantes;</w:t>
      </w:r>
    </w:p>
    <w:p w14:paraId="1B7A9302"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8.9.4.</w:t>
      </w:r>
      <w:r w:rsidRPr="008403C5">
        <w:rPr>
          <w:rFonts w:ascii="Times New Roman" w:hAnsi="Times New Roman" w:cs="Times New Roman"/>
        </w:rPr>
        <w:tab/>
        <w:t>os danos que dela provierem para o Contratante; e</w:t>
      </w:r>
    </w:p>
    <w:p w14:paraId="48667690"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8.9.5.</w:t>
      </w:r>
      <w:r w:rsidRPr="008403C5">
        <w:rPr>
          <w:rFonts w:ascii="Times New Roman" w:hAnsi="Times New Roman" w:cs="Times New Roman"/>
        </w:rPr>
        <w:tab/>
        <w:t>a implantação ou o aperfeiçoamento de programa de integridade, conforme normas e orientações dos órgãos de controle.</w:t>
      </w:r>
    </w:p>
    <w:p w14:paraId="1DDF4D0E"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8.10.</w:t>
      </w:r>
      <w:r w:rsidRPr="008403C5">
        <w:rPr>
          <w:rFonts w:ascii="Times New Roman" w:hAnsi="Times New Roman" w:cs="Times New Roman"/>
        </w:rPr>
        <w:tab/>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w:t>
      </w:r>
    </w:p>
    <w:p w14:paraId="1A9BC44A"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8.11.</w:t>
      </w:r>
      <w:r w:rsidRPr="008403C5">
        <w:rPr>
          <w:rFonts w:ascii="Times New Roman" w:hAnsi="Times New Roman" w:cs="Times New Roman"/>
        </w:rPr>
        <w:tab/>
        <w:t>A personalidade jurídica do Contratado poderá ser desconsiderada sempre que utilizada com abuso do direito para facilitar, encobrir ou dissimular a prática dos atos ilícitos previstos neste Termo de Referência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w:t>
      </w:r>
    </w:p>
    <w:p w14:paraId="64C6192E"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8.12.</w:t>
      </w:r>
      <w:r w:rsidRPr="008403C5">
        <w:rPr>
          <w:rFonts w:ascii="Times New Roman" w:hAnsi="Times New Roman" w:cs="Times New Roman"/>
        </w:rPr>
        <w:tab/>
        <w:t>O Contratante deverá, no prazo máximo de 15 (quinze) dias úteis, contado da data de aplicação da sanção, informar e manter atualizados os dados relativos às sanções por ela aplicadas, para fins de publicidade, no cadastro de fornecedores municipal.</w:t>
      </w:r>
    </w:p>
    <w:p w14:paraId="1EC0F2CC"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lastRenderedPageBreak/>
        <w:t>8.13.</w:t>
      </w:r>
      <w:r w:rsidRPr="008403C5">
        <w:rPr>
          <w:rFonts w:ascii="Times New Roman" w:hAnsi="Times New Roman" w:cs="Times New Roman"/>
        </w:rPr>
        <w:tab/>
        <w:t>As sanções de impedimento de licitar e contratar e declaração de inidoneidade para licitar ou contratar são passíveis de reabilitação na forma do art. 163 da Lei nº 14.133, de 2021.</w:t>
      </w:r>
    </w:p>
    <w:p w14:paraId="6B2F43F7"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8.14.</w:t>
      </w:r>
      <w:r w:rsidRPr="008403C5">
        <w:rPr>
          <w:rFonts w:ascii="Times New Roman" w:hAnsi="Times New Roman" w:cs="Times New Roman"/>
        </w:rPr>
        <w:tab/>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0F4F3BFE" w14:textId="77777777" w:rsidR="003700A5" w:rsidRPr="008403C5" w:rsidRDefault="003700A5" w:rsidP="003700A5">
      <w:pPr>
        <w:spacing w:before="0" w:after="0"/>
        <w:ind w:left="284" w:right="-1" w:hanging="284"/>
        <w:rPr>
          <w:rFonts w:ascii="Times New Roman" w:hAnsi="Times New Roman" w:cs="Times New Roman"/>
        </w:rPr>
      </w:pPr>
    </w:p>
    <w:p w14:paraId="6DBD2A0E"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9.</w:t>
      </w:r>
      <w:r w:rsidRPr="008403C5">
        <w:rPr>
          <w:rFonts w:ascii="Times New Roman" w:hAnsi="Times New Roman" w:cs="Times New Roman"/>
          <w:b/>
          <w:bCs/>
        </w:rPr>
        <w:tab/>
        <w:t>FORMA E CRITÉRIOS DE SELEÇÃO DO FORNECEDOR E FORMA DE FORNECIMENTO</w:t>
      </w:r>
    </w:p>
    <w:p w14:paraId="0D03506D"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Forma de seleção e critério de julgamento da proposta</w:t>
      </w:r>
    </w:p>
    <w:p w14:paraId="53312A75" w14:textId="5532B0DE"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9.1.</w:t>
      </w:r>
      <w:r w:rsidRPr="008403C5">
        <w:rPr>
          <w:rFonts w:ascii="Times New Roman" w:hAnsi="Times New Roman" w:cs="Times New Roman"/>
        </w:rPr>
        <w:tab/>
        <w:t>O fornecedor será selecionado por meio da realização de procedimento de LICITAÇÃO, na modalidade CONCORRÊNCIA, sob a forma ELETRÔNICA, com adoção do critério de julgamento pelo MENOR PREÇO.</w:t>
      </w:r>
    </w:p>
    <w:p w14:paraId="2036A193"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Regime de execução</w:t>
      </w:r>
    </w:p>
    <w:p w14:paraId="6AE13A6C"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9.2.</w:t>
      </w:r>
      <w:r w:rsidRPr="008403C5">
        <w:rPr>
          <w:rFonts w:ascii="Times New Roman" w:hAnsi="Times New Roman" w:cs="Times New Roman"/>
        </w:rPr>
        <w:tab/>
        <w:t>O regime de execução do objeto será de empreitada por preço global.</w:t>
      </w:r>
    </w:p>
    <w:p w14:paraId="5D8B4003"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Exigências de habilitação</w:t>
      </w:r>
    </w:p>
    <w:p w14:paraId="422399D1"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9.3.</w:t>
      </w:r>
      <w:r w:rsidRPr="008403C5">
        <w:rPr>
          <w:rFonts w:ascii="Times New Roman" w:hAnsi="Times New Roman" w:cs="Times New Roman"/>
        </w:rPr>
        <w:tab/>
        <w:t>Para fins de habilitação, deverá o interessado comprovar os seguintes requisitos:</w:t>
      </w:r>
    </w:p>
    <w:p w14:paraId="6AD0C1E3"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Habilitação jurídica</w:t>
      </w:r>
    </w:p>
    <w:p w14:paraId="65AB0EEF"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9.4.</w:t>
      </w:r>
      <w:r w:rsidRPr="008403C5">
        <w:rPr>
          <w:rFonts w:ascii="Times New Roman" w:hAnsi="Times New Roman" w:cs="Times New Roman"/>
        </w:rPr>
        <w:tab/>
        <w:t>pessoa física: cédula de identidade (RG) ou documento equivalente que, por força de lei, tenha validade para fins de identificação em todo o território nacional;</w:t>
      </w:r>
    </w:p>
    <w:p w14:paraId="6E68CF32"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9.5.</w:t>
      </w:r>
      <w:r w:rsidRPr="008403C5">
        <w:rPr>
          <w:rFonts w:ascii="Times New Roman" w:hAnsi="Times New Roman" w:cs="Times New Roman"/>
        </w:rPr>
        <w:tab/>
        <w:t>empresário individual: inscrição no Registro Público de Empresas Mercantis, a cargo da Junta Comercial da respectiva sede;</w:t>
      </w:r>
    </w:p>
    <w:p w14:paraId="45E1B257"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9.6.</w:t>
      </w:r>
      <w:r w:rsidRPr="008403C5">
        <w:rPr>
          <w:rFonts w:ascii="Times New Roman" w:hAnsi="Times New Roman" w:cs="Times New Roman"/>
        </w:rPr>
        <w:tab/>
        <w:t xml:space="preserve">Microempreendedor Individual - MEI: Certificado da Condição de Microempreendedor Individual - CCMEI, cuja aceitação ficará condicionada à verificação da autenticidade no sítio </w:t>
      </w:r>
      <w:hyperlink r:id="rId8" w:history="1">
        <w:r w:rsidRPr="008403C5">
          <w:rPr>
            <w:rFonts w:ascii="Times New Roman" w:hAnsi="Times New Roman" w:cs="Times New Roman"/>
            <w:color w:val="0563C1" w:themeColor="hyperlink"/>
            <w:u w:val="single"/>
          </w:rPr>
          <w:t>https://www.gov.br/empresas-e-negocios/pt-br/empreendedor</w:t>
        </w:r>
      </w:hyperlink>
      <w:r w:rsidRPr="008403C5">
        <w:rPr>
          <w:rFonts w:ascii="Times New Roman" w:hAnsi="Times New Roman" w:cs="Times New Roman"/>
        </w:rPr>
        <w:t>;</w:t>
      </w:r>
    </w:p>
    <w:p w14:paraId="7E839323"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9.7.</w:t>
      </w:r>
      <w:r w:rsidRPr="008403C5">
        <w:rPr>
          <w:rFonts w:ascii="Times New Roman" w:hAnsi="Times New Roman" w:cs="Times New Roman"/>
        </w:rPr>
        <w:tab/>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18B09643"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9.8.</w:t>
      </w:r>
      <w:r w:rsidRPr="008403C5">
        <w:rPr>
          <w:rFonts w:ascii="Times New Roman" w:hAnsi="Times New Roman" w:cs="Times New Roman"/>
        </w:rPr>
        <w:tab/>
        <w:t>sociedade empresária estrangeira: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14:paraId="49813539"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9.9.</w:t>
      </w:r>
      <w:r w:rsidRPr="008403C5">
        <w:rPr>
          <w:rFonts w:ascii="Times New Roman" w:hAnsi="Times New Roman" w:cs="Times New Roman"/>
        </w:rPr>
        <w:tab/>
        <w:t>sociedade simples: inscrição do ato constitutivo no Registro Civil de Pessoas Jurídicas do local de sua sede, acompanhada de documento comprobatório de seus administradores;</w:t>
      </w:r>
    </w:p>
    <w:p w14:paraId="7CE39DFA"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lastRenderedPageBreak/>
        <w:t>9.10.</w:t>
      </w:r>
      <w:r w:rsidRPr="008403C5">
        <w:rPr>
          <w:rFonts w:ascii="Times New Roman" w:hAnsi="Times New Roman" w:cs="Times New Roman"/>
        </w:rPr>
        <w:tab/>
        <w:t>filial, sucursal ou agência de sociedade simples ou empresária: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43306A98"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9.11.</w:t>
      </w:r>
      <w:r w:rsidRPr="008403C5">
        <w:rPr>
          <w:rFonts w:ascii="Times New Roman" w:hAnsi="Times New Roman" w:cs="Times New Roman"/>
        </w:rPr>
        <w:tab/>
        <w:t>sociedade cooperativa: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33761CEA"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9.12.</w:t>
      </w:r>
      <w:r w:rsidRPr="008403C5">
        <w:rPr>
          <w:rFonts w:ascii="Times New Roman" w:hAnsi="Times New Roman" w:cs="Times New Roman"/>
        </w:rPr>
        <w:tab/>
        <w:t>Os documentos apresentados deverão estar acompanhados de todas as alterações ou da consolidação respectiva.</w:t>
      </w:r>
    </w:p>
    <w:p w14:paraId="554012BA"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Habilitação fiscal, social e trabalhista</w:t>
      </w:r>
    </w:p>
    <w:p w14:paraId="161B3B9F"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9.13.</w:t>
      </w:r>
      <w:r w:rsidRPr="008403C5">
        <w:rPr>
          <w:rFonts w:ascii="Times New Roman" w:hAnsi="Times New Roman" w:cs="Times New Roman"/>
        </w:rPr>
        <w:tab/>
        <w:t>Prova de inscrição no Cadastro Nacional de Pessoas Jurídicas ou no Cadastro de Pessoas Físicas, conforme o caso;</w:t>
      </w:r>
    </w:p>
    <w:p w14:paraId="2DCAF245"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9.14.</w:t>
      </w:r>
      <w:r w:rsidRPr="008403C5">
        <w:rPr>
          <w:rFonts w:ascii="Times New Roman" w:hAnsi="Times New Roman" w:cs="Times New Roman"/>
        </w:rPr>
        <w:tab/>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5DBCFAAF"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9.15.</w:t>
      </w:r>
      <w:r w:rsidRPr="008403C5">
        <w:rPr>
          <w:rFonts w:ascii="Times New Roman" w:hAnsi="Times New Roman" w:cs="Times New Roman"/>
        </w:rPr>
        <w:tab/>
        <w:t>Prova de regularidade com o Fundo de Garantia do Tempo de Serviço (FGTS);</w:t>
      </w:r>
    </w:p>
    <w:p w14:paraId="35E9FF90"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9.16.</w:t>
      </w:r>
      <w:r w:rsidRPr="008403C5">
        <w:rPr>
          <w:rFonts w:ascii="Times New Roman" w:hAnsi="Times New Roman" w:cs="Times New Roman"/>
        </w:rPr>
        <w:tab/>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6CFE180B"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9.17.</w:t>
      </w:r>
      <w:r w:rsidRPr="008403C5">
        <w:rPr>
          <w:rFonts w:ascii="Times New Roman" w:hAnsi="Times New Roman" w:cs="Times New Roman"/>
        </w:rPr>
        <w:tab/>
        <w:t>Prova de inscrição no cadastro de contribuintes Estadual ou Distrital relativo ao domicílio ou sede do fornecedor, pertinente ao seu ramo de atividade e compatível com o objeto contratual;</w:t>
      </w:r>
    </w:p>
    <w:p w14:paraId="6AED4AF1"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9.18.</w:t>
      </w:r>
      <w:r w:rsidRPr="008403C5">
        <w:rPr>
          <w:rFonts w:ascii="Times New Roman" w:hAnsi="Times New Roman" w:cs="Times New Roman"/>
        </w:rPr>
        <w:tab/>
        <w:t>Prova de regularidade com a Fazenda Estadual ou Distrital do domicílio ou sede do fornecedor, relativa à atividade em cujo exercício contrata ou concorre;</w:t>
      </w:r>
    </w:p>
    <w:p w14:paraId="2C60DD96"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9.19.</w:t>
      </w:r>
      <w:r w:rsidRPr="008403C5">
        <w:rPr>
          <w:rFonts w:ascii="Times New Roman" w:hAnsi="Times New Roman" w:cs="Times New Roman"/>
        </w:rPr>
        <w:tab/>
        <w:t>Prova de regularidade com a Fazenda Municipal do domicílio ou sede do fornecedor, relativa à atividade em cujo exercício contrata ou concorre;</w:t>
      </w:r>
    </w:p>
    <w:p w14:paraId="1B219BD6"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9.20.</w:t>
      </w:r>
      <w:r w:rsidRPr="008403C5">
        <w:rPr>
          <w:rFonts w:ascii="Times New Roman" w:hAnsi="Times New Roman" w:cs="Times New Roman"/>
        </w:rPr>
        <w:tab/>
        <w:t>Caso o fornecedor seja considerado isento dos tributos relacionados ao objeto contratual, deverá comprovar tal condição mediante a apresentação de declaração da Fazenda respectiva do seu domicílio ou sede, ou outra equivalente, na forma da lei.</w:t>
      </w:r>
    </w:p>
    <w:p w14:paraId="73641A22"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9.21.</w:t>
      </w:r>
      <w:r w:rsidRPr="008403C5">
        <w:rPr>
          <w:rFonts w:ascii="Times New Roman" w:hAnsi="Times New Roman" w:cs="Times New Roman"/>
        </w:rPr>
        <w:tab/>
        <w:t>O fornecedor enquadrado como microempreendedor individual que pretenda auferir os benefícios do tratamento diferenciado previstos na Lei Complementar n. 123, de 2006, estará dispensado da prova de inscrição nos cadastros de contribuintes estadual e municipal.</w:t>
      </w:r>
    </w:p>
    <w:p w14:paraId="624B8FCC"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9.22.</w:t>
      </w:r>
      <w:r w:rsidRPr="008403C5">
        <w:rPr>
          <w:rFonts w:ascii="Times New Roman" w:hAnsi="Times New Roman" w:cs="Times New Roman"/>
        </w:rPr>
        <w:tab/>
        <w:t>Declaração de cumprimento ao disposto no inciso XXXIII do artigo 7º da Constituição Federal.</w:t>
      </w:r>
    </w:p>
    <w:p w14:paraId="07D87249"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lastRenderedPageBreak/>
        <w:t>9.23.</w:t>
      </w:r>
      <w:r w:rsidRPr="008403C5">
        <w:rPr>
          <w:rFonts w:ascii="Times New Roman" w:hAnsi="Times New Roman" w:cs="Times New Roman"/>
        </w:rPr>
        <w:tab/>
        <w:t>Se for Microempresa ou empresa de pequeno porte, deverá apresentar DECLARAÇÃO DE QUE NÃO TENHA CELEBRADO CONTRATOS COM A ADMINISTRAÇÃO PÚBLICA CUJOS VALORES SOMADOS EXTRAPOLEM A RECEITA BRUTA MÁXIMA ADMITIDA PARA FINS DE ENQUADRAMENTO COMO MICROEMPRESA OU EMPRESA DE PEQUENO PORTE.</w:t>
      </w:r>
    </w:p>
    <w:p w14:paraId="15A50096"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9.24.</w:t>
      </w:r>
      <w:r w:rsidRPr="008403C5">
        <w:rPr>
          <w:rFonts w:ascii="Times New Roman" w:hAnsi="Times New Roman" w:cs="Times New Roman"/>
        </w:rPr>
        <w:tab/>
        <w:t xml:space="preserve">Todas as microempresas e empresas de pequeno porte que desejam fazer jus aos benefícios constantes dos </w:t>
      </w:r>
      <w:proofErr w:type="spellStart"/>
      <w:r w:rsidRPr="008403C5">
        <w:rPr>
          <w:rFonts w:ascii="Times New Roman" w:hAnsi="Times New Roman" w:cs="Times New Roman"/>
        </w:rPr>
        <w:t>arts</w:t>
      </w:r>
      <w:proofErr w:type="spellEnd"/>
      <w:r w:rsidRPr="008403C5">
        <w:rPr>
          <w:rFonts w:ascii="Times New Roman" w:hAnsi="Times New Roman" w:cs="Times New Roman"/>
        </w:rPr>
        <w:t>. 42 a 49 da Lei Complementar nº 123, de 14 de dezembro de 2006, deverão apresentar esta declaração em obediência ao que dispõe o § 2º, art. 4º da Lei 14.133/2021.</w:t>
      </w:r>
    </w:p>
    <w:p w14:paraId="76143874"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Qualificação Econômico-Financeira</w:t>
      </w:r>
    </w:p>
    <w:p w14:paraId="00C6C2AA"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9.25.</w:t>
      </w:r>
      <w:r w:rsidRPr="008403C5">
        <w:rPr>
          <w:rFonts w:ascii="Times New Roman" w:hAnsi="Times New Roman" w:cs="Times New Roman"/>
        </w:rPr>
        <w:tab/>
        <w:t>certidão negativa de insolvência civil expedida pelo distribuidor do domicílio ou sede do interessado, caso se trate de pessoa física, desde que admitida a sua participação na licitação/contratação, ou de sociedade simples;</w:t>
      </w:r>
    </w:p>
    <w:p w14:paraId="6426A56F"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9.26.</w:t>
      </w:r>
      <w:r w:rsidRPr="008403C5">
        <w:rPr>
          <w:rFonts w:ascii="Times New Roman" w:hAnsi="Times New Roman" w:cs="Times New Roman"/>
        </w:rPr>
        <w:tab/>
        <w:t>certidão negativa de falência expedida pelo distribuidor da sede do fornecedor;</w:t>
      </w:r>
    </w:p>
    <w:p w14:paraId="39A57D93"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9.27.   certidão negativa de falência ou recuperação judicial expedida pelo distribuidor da sede do fornecedor.</w:t>
      </w:r>
    </w:p>
    <w:p w14:paraId="1CCF4513"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9.28.   balanço patrimonial, demonstração do resultado do exercício e demais demonstrações contábeis dos dois últimos exercícios sociais, já exigíveis e apresentados na forma da lei, comprovando índices de Liquidez Geral (LG), Liquidez Corrente (LC) e Solvência Geral (SG) superiores a 1 (um), obtidos pelas seguintes fórmulas:</w:t>
      </w:r>
    </w:p>
    <w:p w14:paraId="5699A71E" w14:textId="77777777" w:rsidR="003700A5" w:rsidRPr="008403C5" w:rsidRDefault="003700A5" w:rsidP="003700A5">
      <w:pPr>
        <w:spacing w:before="0" w:after="0"/>
        <w:ind w:left="284" w:right="-1" w:hanging="284"/>
        <w:rPr>
          <w:rFonts w:ascii="Times New Roman" w:hAnsi="Times New Roman" w:cs="Times New Roman"/>
        </w:rPr>
      </w:pPr>
    </w:p>
    <w:tbl>
      <w:tblPr>
        <w:tblStyle w:val="Tabelacomgrade"/>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4711"/>
      </w:tblGrid>
      <w:tr w:rsidR="003700A5" w:rsidRPr="008403C5" w14:paraId="79D4D0DA" w14:textId="77777777" w:rsidTr="00622186">
        <w:tc>
          <w:tcPr>
            <w:tcW w:w="709" w:type="dxa"/>
            <w:vMerge w:val="restart"/>
            <w:vAlign w:val="center"/>
            <w:hideMark/>
          </w:tcPr>
          <w:p w14:paraId="5FAD1319" w14:textId="77777777" w:rsidR="003700A5" w:rsidRPr="008403C5" w:rsidRDefault="003700A5" w:rsidP="003700A5">
            <w:pPr>
              <w:spacing w:before="0" w:after="0"/>
              <w:ind w:left="284" w:hanging="284"/>
              <w:contextualSpacing w:val="0"/>
              <w:rPr>
                <w:rFonts w:ascii="Times New Roman" w:eastAsia="Arial" w:hAnsi="Times New Roman"/>
                <w:iCs/>
              </w:rPr>
            </w:pPr>
            <w:r w:rsidRPr="008403C5">
              <w:rPr>
                <w:rFonts w:ascii="Times New Roman" w:eastAsia="Arial" w:hAnsi="Times New Roman"/>
                <w:iCs/>
              </w:rPr>
              <w:t>LG =</w:t>
            </w:r>
          </w:p>
        </w:tc>
        <w:tc>
          <w:tcPr>
            <w:tcW w:w="4711" w:type="dxa"/>
            <w:tcBorders>
              <w:top w:val="nil"/>
              <w:left w:val="nil"/>
              <w:bottom w:val="single" w:sz="4" w:space="0" w:color="auto"/>
              <w:right w:val="nil"/>
            </w:tcBorders>
            <w:vAlign w:val="bottom"/>
            <w:hideMark/>
          </w:tcPr>
          <w:p w14:paraId="0DC280D3" w14:textId="77777777" w:rsidR="003700A5" w:rsidRPr="008403C5" w:rsidRDefault="003700A5" w:rsidP="003700A5">
            <w:pPr>
              <w:spacing w:before="0" w:after="0"/>
              <w:ind w:left="284" w:hanging="284"/>
              <w:contextualSpacing w:val="0"/>
              <w:jc w:val="center"/>
              <w:rPr>
                <w:rFonts w:ascii="Times New Roman" w:eastAsia="Arial" w:hAnsi="Times New Roman"/>
                <w:iCs/>
              </w:rPr>
            </w:pPr>
            <w:r w:rsidRPr="008403C5">
              <w:rPr>
                <w:rFonts w:ascii="Times New Roman" w:eastAsia="Arial" w:hAnsi="Times New Roman"/>
                <w:iCs/>
              </w:rPr>
              <w:t>Ativo Circulante + Realizável a Longo Prazo</w:t>
            </w:r>
          </w:p>
        </w:tc>
      </w:tr>
      <w:tr w:rsidR="003700A5" w:rsidRPr="008403C5" w14:paraId="00A3AABF" w14:textId="77777777" w:rsidTr="00622186">
        <w:tc>
          <w:tcPr>
            <w:tcW w:w="709" w:type="dxa"/>
            <w:vMerge/>
            <w:vAlign w:val="center"/>
            <w:hideMark/>
          </w:tcPr>
          <w:p w14:paraId="745D2FDB" w14:textId="77777777" w:rsidR="003700A5" w:rsidRPr="008403C5" w:rsidRDefault="003700A5" w:rsidP="003700A5">
            <w:pPr>
              <w:spacing w:before="0" w:after="0"/>
              <w:ind w:left="284" w:hanging="284"/>
              <w:contextualSpacing w:val="0"/>
              <w:jc w:val="left"/>
              <w:rPr>
                <w:rFonts w:ascii="Times New Roman" w:eastAsia="Arial" w:hAnsi="Times New Roman"/>
                <w:iCs/>
              </w:rPr>
            </w:pPr>
          </w:p>
        </w:tc>
        <w:tc>
          <w:tcPr>
            <w:tcW w:w="4711" w:type="dxa"/>
            <w:tcBorders>
              <w:top w:val="single" w:sz="4" w:space="0" w:color="auto"/>
              <w:left w:val="nil"/>
              <w:bottom w:val="nil"/>
              <w:right w:val="nil"/>
            </w:tcBorders>
            <w:hideMark/>
          </w:tcPr>
          <w:p w14:paraId="3601DDB8" w14:textId="77777777" w:rsidR="003700A5" w:rsidRPr="008403C5" w:rsidRDefault="003700A5" w:rsidP="003700A5">
            <w:pPr>
              <w:spacing w:before="0" w:after="0"/>
              <w:ind w:left="284" w:hanging="284"/>
              <w:contextualSpacing w:val="0"/>
              <w:jc w:val="center"/>
              <w:rPr>
                <w:rFonts w:ascii="Times New Roman" w:eastAsia="Arial" w:hAnsi="Times New Roman"/>
                <w:iCs/>
              </w:rPr>
            </w:pPr>
            <w:r w:rsidRPr="008403C5">
              <w:rPr>
                <w:rFonts w:ascii="Times New Roman" w:eastAsia="Arial" w:hAnsi="Times New Roman"/>
                <w:iCs/>
              </w:rPr>
              <w:t>Passivo Circulante + Passivo Não Circulante</w:t>
            </w:r>
          </w:p>
        </w:tc>
      </w:tr>
    </w:tbl>
    <w:p w14:paraId="21DA1F21" w14:textId="77777777" w:rsidR="003700A5" w:rsidRPr="008403C5" w:rsidRDefault="003700A5" w:rsidP="003700A5">
      <w:pPr>
        <w:spacing w:before="0" w:after="0"/>
        <w:ind w:left="284" w:right="-1" w:hanging="284"/>
        <w:rPr>
          <w:rFonts w:ascii="Times New Roman" w:hAnsi="Times New Roman" w:cs="Times New Roman"/>
        </w:rPr>
      </w:pPr>
    </w:p>
    <w:tbl>
      <w:tblPr>
        <w:tblStyle w:val="Tabelacomgrade"/>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4820"/>
      </w:tblGrid>
      <w:tr w:rsidR="003700A5" w:rsidRPr="008403C5" w14:paraId="337373CF" w14:textId="77777777" w:rsidTr="00622186">
        <w:trPr>
          <w:cantSplit/>
        </w:trPr>
        <w:tc>
          <w:tcPr>
            <w:tcW w:w="709" w:type="dxa"/>
            <w:vMerge w:val="restart"/>
            <w:vAlign w:val="center"/>
            <w:hideMark/>
          </w:tcPr>
          <w:p w14:paraId="47E9023E" w14:textId="77777777" w:rsidR="003700A5" w:rsidRPr="008403C5" w:rsidRDefault="003700A5" w:rsidP="003700A5">
            <w:pPr>
              <w:spacing w:before="0" w:after="0"/>
              <w:ind w:left="284" w:hanging="284"/>
              <w:contextualSpacing w:val="0"/>
              <w:rPr>
                <w:rFonts w:ascii="Times New Roman" w:eastAsia="Arial" w:hAnsi="Times New Roman"/>
                <w:iCs/>
              </w:rPr>
            </w:pPr>
            <w:r w:rsidRPr="008403C5">
              <w:rPr>
                <w:rFonts w:ascii="Times New Roman" w:eastAsia="Arial" w:hAnsi="Times New Roman"/>
                <w:iCs/>
              </w:rPr>
              <w:t>SG =</w:t>
            </w:r>
          </w:p>
        </w:tc>
        <w:tc>
          <w:tcPr>
            <w:tcW w:w="4820" w:type="dxa"/>
            <w:tcBorders>
              <w:top w:val="nil"/>
              <w:left w:val="nil"/>
              <w:bottom w:val="single" w:sz="4" w:space="0" w:color="auto"/>
              <w:right w:val="nil"/>
            </w:tcBorders>
            <w:vAlign w:val="bottom"/>
            <w:hideMark/>
          </w:tcPr>
          <w:p w14:paraId="5107CDEA" w14:textId="77777777" w:rsidR="003700A5" w:rsidRPr="008403C5" w:rsidRDefault="003700A5" w:rsidP="003700A5">
            <w:pPr>
              <w:spacing w:before="0" w:after="0"/>
              <w:ind w:left="284" w:hanging="284"/>
              <w:contextualSpacing w:val="0"/>
              <w:jc w:val="center"/>
              <w:rPr>
                <w:rFonts w:ascii="Times New Roman" w:eastAsia="Arial" w:hAnsi="Times New Roman"/>
                <w:iCs/>
              </w:rPr>
            </w:pPr>
            <w:r w:rsidRPr="008403C5">
              <w:rPr>
                <w:rFonts w:ascii="Times New Roman" w:eastAsia="Arial" w:hAnsi="Times New Roman"/>
                <w:iCs/>
              </w:rPr>
              <w:t>Ativo Total</w:t>
            </w:r>
          </w:p>
        </w:tc>
      </w:tr>
      <w:tr w:rsidR="003700A5" w:rsidRPr="008403C5" w14:paraId="33C9722E" w14:textId="77777777" w:rsidTr="00622186">
        <w:trPr>
          <w:cantSplit/>
        </w:trPr>
        <w:tc>
          <w:tcPr>
            <w:tcW w:w="709" w:type="dxa"/>
            <w:vMerge/>
            <w:vAlign w:val="center"/>
            <w:hideMark/>
          </w:tcPr>
          <w:p w14:paraId="6F2E91F4" w14:textId="77777777" w:rsidR="003700A5" w:rsidRPr="008403C5" w:rsidRDefault="003700A5" w:rsidP="003700A5">
            <w:pPr>
              <w:spacing w:before="0" w:after="0"/>
              <w:ind w:left="284" w:hanging="284"/>
              <w:contextualSpacing w:val="0"/>
              <w:jc w:val="left"/>
              <w:rPr>
                <w:rFonts w:ascii="Times New Roman" w:eastAsia="Arial" w:hAnsi="Times New Roman"/>
                <w:iCs/>
              </w:rPr>
            </w:pPr>
          </w:p>
        </w:tc>
        <w:tc>
          <w:tcPr>
            <w:tcW w:w="4820" w:type="dxa"/>
            <w:tcBorders>
              <w:top w:val="single" w:sz="4" w:space="0" w:color="auto"/>
              <w:left w:val="nil"/>
              <w:bottom w:val="nil"/>
              <w:right w:val="nil"/>
            </w:tcBorders>
            <w:hideMark/>
          </w:tcPr>
          <w:p w14:paraId="68A241F6" w14:textId="77777777" w:rsidR="003700A5" w:rsidRPr="008403C5" w:rsidRDefault="003700A5" w:rsidP="003700A5">
            <w:pPr>
              <w:spacing w:before="0" w:after="0"/>
              <w:ind w:left="284" w:hanging="284"/>
              <w:contextualSpacing w:val="0"/>
              <w:jc w:val="center"/>
              <w:rPr>
                <w:rFonts w:ascii="Times New Roman" w:eastAsia="Arial" w:hAnsi="Times New Roman"/>
                <w:iCs/>
              </w:rPr>
            </w:pPr>
            <w:r w:rsidRPr="008403C5">
              <w:rPr>
                <w:rFonts w:ascii="Times New Roman" w:eastAsia="Arial" w:hAnsi="Times New Roman"/>
                <w:iCs/>
              </w:rPr>
              <w:t>Passivo Circulante + Passivo Não Circulante</w:t>
            </w:r>
          </w:p>
        </w:tc>
      </w:tr>
    </w:tbl>
    <w:p w14:paraId="522E1332" w14:textId="77777777" w:rsidR="003700A5" w:rsidRPr="008403C5" w:rsidRDefault="003700A5" w:rsidP="003700A5">
      <w:pPr>
        <w:spacing w:before="0" w:after="0"/>
        <w:ind w:left="284" w:hanging="284"/>
        <w:contextualSpacing w:val="0"/>
        <w:rPr>
          <w:rFonts w:ascii="Times New Roman" w:eastAsia="Arial" w:hAnsi="Times New Roman" w:cs="Times New Roman"/>
          <w:iCs/>
          <w:kern w:val="0"/>
          <w:lang w:eastAsia="pt-BR"/>
          <w14:ligatures w14:val="none"/>
        </w:rPr>
      </w:pPr>
    </w:p>
    <w:tbl>
      <w:tblPr>
        <w:tblStyle w:val="Tabelacomgrade"/>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3119"/>
      </w:tblGrid>
      <w:tr w:rsidR="003700A5" w:rsidRPr="008403C5" w14:paraId="5D03E490" w14:textId="77777777" w:rsidTr="00622186">
        <w:tc>
          <w:tcPr>
            <w:tcW w:w="709" w:type="dxa"/>
            <w:vMerge w:val="restart"/>
            <w:vAlign w:val="center"/>
            <w:hideMark/>
          </w:tcPr>
          <w:p w14:paraId="4CA33FC0" w14:textId="77777777" w:rsidR="003700A5" w:rsidRPr="008403C5" w:rsidRDefault="003700A5" w:rsidP="003700A5">
            <w:pPr>
              <w:spacing w:before="0" w:after="0"/>
              <w:ind w:left="284" w:hanging="284"/>
              <w:contextualSpacing w:val="0"/>
              <w:rPr>
                <w:rFonts w:ascii="Times New Roman" w:eastAsia="Arial" w:hAnsi="Times New Roman"/>
                <w:iCs/>
              </w:rPr>
            </w:pPr>
            <w:r w:rsidRPr="008403C5">
              <w:rPr>
                <w:rFonts w:ascii="Times New Roman" w:eastAsia="Arial" w:hAnsi="Times New Roman"/>
                <w:iCs/>
              </w:rPr>
              <w:t>LC =</w:t>
            </w:r>
          </w:p>
        </w:tc>
        <w:tc>
          <w:tcPr>
            <w:tcW w:w="3119" w:type="dxa"/>
            <w:tcBorders>
              <w:top w:val="nil"/>
              <w:left w:val="nil"/>
              <w:bottom w:val="single" w:sz="4" w:space="0" w:color="auto"/>
              <w:right w:val="nil"/>
            </w:tcBorders>
            <w:vAlign w:val="bottom"/>
            <w:hideMark/>
          </w:tcPr>
          <w:p w14:paraId="2DD199BE" w14:textId="77777777" w:rsidR="003700A5" w:rsidRPr="008403C5" w:rsidRDefault="003700A5" w:rsidP="003700A5">
            <w:pPr>
              <w:spacing w:before="0" w:after="0"/>
              <w:ind w:left="284" w:hanging="284"/>
              <w:contextualSpacing w:val="0"/>
              <w:jc w:val="center"/>
              <w:rPr>
                <w:rFonts w:ascii="Times New Roman" w:eastAsia="Arial" w:hAnsi="Times New Roman"/>
                <w:iCs/>
              </w:rPr>
            </w:pPr>
            <w:r w:rsidRPr="008403C5">
              <w:rPr>
                <w:rFonts w:ascii="Times New Roman" w:eastAsia="Arial" w:hAnsi="Times New Roman"/>
                <w:iCs/>
              </w:rPr>
              <w:t>Ativo Circulante</w:t>
            </w:r>
          </w:p>
        </w:tc>
      </w:tr>
      <w:tr w:rsidR="003700A5" w:rsidRPr="008403C5" w14:paraId="1A6EA213" w14:textId="77777777" w:rsidTr="00622186">
        <w:tc>
          <w:tcPr>
            <w:tcW w:w="709" w:type="dxa"/>
            <w:vMerge/>
            <w:vAlign w:val="center"/>
            <w:hideMark/>
          </w:tcPr>
          <w:p w14:paraId="796460A5" w14:textId="77777777" w:rsidR="003700A5" w:rsidRPr="008403C5" w:rsidRDefault="003700A5" w:rsidP="003700A5">
            <w:pPr>
              <w:spacing w:before="0" w:after="0"/>
              <w:ind w:left="284" w:hanging="284"/>
              <w:contextualSpacing w:val="0"/>
              <w:jc w:val="left"/>
              <w:rPr>
                <w:rFonts w:ascii="Times New Roman" w:eastAsia="Arial" w:hAnsi="Times New Roman"/>
                <w:iCs/>
              </w:rPr>
            </w:pPr>
          </w:p>
        </w:tc>
        <w:tc>
          <w:tcPr>
            <w:tcW w:w="3119" w:type="dxa"/>
            <w:tcBorders>
              <w:top w:val="single" w:sz="4" w:space="0" w:color="auto"/>
              <w:left w:val="nil"/>
              <w:bottom w:val="nil"/>
              <w:right w:val="nil"/>
            </w:tcBorders>
            <w:hideMark/>
          </w:tcPr>
          <w:p w14:paraId="1ADC8F35" w14:textId="77777777" w:rsidR="003700A5" w:rsidRPr="008403C5" w:rsidRDefault="003700A5" w:rsidP="003700A5">
            <w:pPr>
              <w:spacing w:before="0" w:after="0"/>
              <w:ind w:left="284" w:hanging="284"/>
              <w:contextualSpacing w:val="0"/>
              <w:jc w:val="center"/>
              <w:rPr>
                <w:rFonts w:ascii="Times New Roman" w:eastAsia="Arial" w:hAnsi="Times New Roman"/>
                <w:iCs/>
              </w:rPr>
            </w:pPr>
            <w:r w:rsidRPr="008403C5">
              <w:rPr>
                <w:rFonts w:ascii="Times New Roman" w:eastAsia="Arial" w:hAnsi="Times New Roman"/>
                <w:iCs/>
              </w:rPr>
              <w:t>Passivo Circulante</w:t>
            </w:r>
          </w:p>
        </w:tc>
      </w:tr>
    </w:tbl>
    <w:p w14:paraId="214C60C3" w14:textId="77777777" w:rsidR="003700A5" w:rsidRPr="008403C5" w:rsidRDefault="003700A5" w:rsidP="003700A5">
      <w:pPr>
        <w:spacing w:before="0" w:after="0"/>
        <w:ind w:left="284" w:right="-1" w:hanging="284"/>
        <w:rPr>
          <w:rFonts w:ascii="Times New Roman" w:hAnsi="Times New Roman" w:cs="Times New Roman"/>
        </w:rPr>
      </w:pPr>
    </w:p>
    <w:p w14:paraId="0A28D29D"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9.29.   Caso a empresa interessada apresente resultado inferior ou igual a 1 (um) em qualquer dos índices de Liquidez Geral (LG), Solvência Geral (SG) ou Liquidez Corrente (LC), será exigido, para fins de habilitação, patrimônio líquido mínimo correspondente a 10% (dez por cento) do valor total estimado da contratação.</w:t>
      </w:r>
    </w:p>
    <w:p w14:paraId="5B24863C"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9.30.</w:t>
      </w:r>
      <w:r w:rsidRPr="008403C5">
        <w:rPr>
          <w:rFonts w:ascii="Times New Roman" w:hAnsi="Times New Roman" w:cs="Times New Roman"/>
        </w:rPr>
        <w:tab/>
        <w:t xml:space="preserve">Os indicadores fixados acima deverão ser atingidos em cada um dos dois últimos exercícios sociais, sob pena de inabilitação; </w:t>
      </w:r>
    </w:p>
    <w:p w14:paraId="233E844A"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9.31.</w:t>
      </w:r>
      <w:r w:rsidRPr="008403C5">
        <w:rPr>
          <w:rFonts w:ascii="Times New Roman" w:hAnsi="Times New Roman" w:cs="Times New Roman"/>
        </w:rPr>
        <w:tab/>
        <w:t>Os documentos referidos acima limitar-se-ão ao último exercício no caso de a pessoa jurídica ter sido constituída há menos de 2 (dois) anos;</w:t>
      </w:r>
    </w:p>
    <w:p w14:paraId="3065D237"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lastRenderedPageBreak/>
        <w:t>9.32.</w:t>
      </w:r>
      <w:r w:rsidRPr="008403C5">
        <w:rPr>
          <w:rFonts w:ascii="Times New Roman" w:hAnsi="Times New Roman" w:cs="Times New Roman"/>
        </w:rPr>
        <w:tab/>
        <w:t xml:space="preserve">Os documentos referidos acima deverão ser exigidos com base no limite definido pela Receita Federal do Brasil para transmissão da Escrituração Contábil Digital - ECD ao </w:t>
      </w:r>
      <w:proofErr w:type="spellStart"/>
      <w:r w:rsidRPr="008403C5">
        <w:rPr>
          <w:rFonts w:ascii="Times New Roman" w:hAnsi="Times New Roman" w:cs="Times New Roman"/>
        </w:rPr>
        <w:t>Sped</w:t>
      </w:r>
      <w:proofErr w:type="spellEnd"/>
      <w:r w:rsidRPr="008403C5">
        <w:rPr>
          <w:rFonts w:ascii="Times New Roman" w:hAnsi="Times New Roman" w:cs="Times New Roman"/>
        </w:rPr>
        <w:t>.</w:t>
      </w:r>
    </w:p>
    <w:p w14:paraId="4D3E5ED2"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9.33.</w:t>
      </w:r>
      <w:r w:rsidRPr="008403C5">
        <w:rPr>
          <w:rFonts w:ascii="Times New Roman" w:hAnsi="Times New Roman" w:cs="Times New Roman"/>
        </w:rPr>
        <w:tab/>
        <w:t>As empresas criadas no exercício financeiro da licitação/contratação deverão atender a todas as exigências da habilitação e poderão substituir os demonstrativos contábeis pelo balanço de abertura.</w:t>
      </w:r>
    </w:p>
    <w:p w14:paraId="6CC88C22"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9.34.</w:t>
      </w:r>
      <w:r w:rsidRPr="008403C5">
        <w:rPr>
          <w:rFonts w:ascii="Times New Roman" w:hAnsi="Times New Roman" w:cs="Times New Roman"/>
        </w:rPr>
        <w:tab/>
        <w:t>O atendimento dos índices econômicos previstos neste item deverá ser atestado mediante declaração assinada por profissional habilitado da área contábil, apresentada pelo fornecedor.</w:t>
      </w:r>
    </w:p>
    <w:p w14:paraId="64B4D921"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Qualificação Técnica</w:t>
      </w:r>
    </w:p>
    <w:p w14:paraId="08FAACAB"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9.35.</w:t>
      </w:r>
      <w:r w:rsidRPr="008403C5">
        <w:rPr>
          <w:rFonts w:ascii="Times New Roman" w:hAnsi="Times New Roman" w:cs="Times New Roman"/>
        </w:rPr>
        <w:tab/>
        <w:t>Declaração de que o fornecedor tomou conhecimento de todas as informações e das condições locais para o cumprimento das obrigações objeto da contratação.</w:t>
      </w:r>
    </w:p>
    <w:p w14:paraId="13BEE242"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9.35.1.</w:t>
      </w:r>
      <w:r w:rsidRPr="008403C5">
        <w:rPr>
          <w:rFonts w:ascii="Times New Roman" w:hAnsi="Times New Roman" w:cs="Times New Roman"/>
        </w:rPr>
        <w:tab/>
        <w:t>Essa declaração poderá ser substituída por declaração formal assinada pelo responsável técnico do interessado acerca do conhecimento pleno das condições e peculiaridades da contratação.</w:t>
      </w:r>
    </w:p>
    <w:p w14:paraId="1CFAB20E"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9.36.</w:t>
      </w:r>
      <w:r w:rsidRPr="008403C5">
        <w:rPr>
          <w:rFonts w:ascii="Times New Roman" w:hAnsi="Times New Roman" w:cs="Times New Roman"/>
        </w:rPr>
        <w:tab/>
        <w:t xml:space="preserve"> Registro ou inscrição da empresa junto ao Conselho Regional de Engenharia e Agronomia – CREA, em plena validade, quando o exercício da atividade vinculada ao objeto contratual estiver sujeito à fiscalização profissional por determinação legal específica.</w:t>
      </w:r>
    </w:p>
    <w:p w14:paraId="588D7FC7"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9.36.1. Sociedades empresárias estrangeiras atenderão à exigência por meio da apresentação, no momento da assinatura do contrato ou do aceite de instrumento equivalente, da solicitação de registro perante a entidade profissional competente no Brasil.</w:t>
      </w:r>
    </w:p>
    <w:p w14:paraId="476BD414"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Qualificação Técnico-Operacional</w:t>
      </w:r>
    </w:p>
    <w:p w14:paraId="0EB3D47E"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9.37.</w:t>
      </w:r>
      <w:r w:rsidRPr="008403C5">
        <w:rPr>
          <w:rFonts w:ascii="Times New Roman" w:hAnsi="Times New Roman" w:cs="Times New Roman"/>
        </w:rPr>
        <w:tab/>
        <w:t xml:space="preserve"> Comprovação de aptidão para o fornecimento de bens similares, de complexidade tecnológica e operacional equivalente ou superior à do objeto desta contratação, ou do item pertinente, por meio da apresentação de certidões ou atestados emitidos por pessoas jurídicas de direito público ou privado, ou pelo conselho profissional competente, quando for o caso.</w:t>
      </w:r>
    </w:p>
    <w:p w14:paraId="23EB955B" w14:textId="160156B6"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9.37.1</w:t>
      </w:r>
      <w:r w:rsidRPr="008403C5">
        <w:rPr>
          <w:rFonts w:ascii="Times New Roman" w:hAnsi="Times New Roman" w:cs="Times New Roman"/>
        </w:rPr>
        <w:tab/>
        <w:t xml:space="preserve"> Para fins da comprovação de que trata este subitem, os atestados deverão dizer respeito a contrato(s) executado(s) com a seguinte característica mínima:</w:t>
      </w:r>
    </w:p>
    <w:p w14:paraId="2A669DD0" w14:textId="595403E9"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9.37.1.</w:t>
      </w:r>
      <w:r w:rsidR="00D243B6" w:rsidRPr="008403C5">
        <w:rPr>
          <w:rFonts w:ascii="Times New Roman" w:hAnsi="Times New Roman" w:cs="Times New Roman"/>
        </w:rPr>
        <w:t>1</w:t>
      </w:r>
      <w:r w:rsidRPr="008403C5">
        <w:rPr>
          <w:rFonts w:ascii="Times New Roman" w:hAnsi="Times New Roman" w:cs="Times New Roman"/>
        </w:rPr>
        <w:t>. Certidão de Acervo Técnico (CAT) com Atestado de Capacidade Técnica operacional ou Certidão de Capacidade Técnica Operacional, fornecido por pessoa jurídica de direito público ou privado, necessariamente em nome da licitante, devidamente registrado no órgão competente, o qual se comprove a execução de, no mínimo, 50% (cinquenta por cento) da área da parcela de maior relevância, sendo:</w:t>
      </w:r>
    </w:p>
    <w:p w14:paraId="3DC0EF4F" w14:textId="7460A3BF" w:rsidR="003700A5" w:rsidRPr="008403C5" w:rsidRDefault="003700A5" w:rsidP="003700A5">
      <w:pPr>
        <w:numPr>
          <w:ilvl w:val="0"/>
          <w:numId w:val="4"/>
        </w:numPr>
        <w:spacing w:before="0" w:after="0"/>
        <w:ind w:right="-1" w:firstLine="1123"/>
        <w:rPr>
          <w:rFonts w:ascii="Times New Roman" w:hAnsi="Times New Roman" w:cs="Times New Roman"/>
        </w:rPr>
      </w:pPr>
      <w:r w:rsidRPr="008403C5">
        <w:rPr>
          <w:rFonts w:ascii="Times New Roman" w:hAnsi="Times New Roman" w:cs="Times New Roman"/>
        </w:rPr>
        <w:t xml:space="preserve">Execução de </w:t>
      </w:r>
      <w:r w:rsidR="00D243B6" w:rsidRPr="008403C5">
        <w:rPr>
          <w:rFonts w:ascii="Times New Roman" w:hAnsi="Times New Roman" w:cs="Times New Roman"/>
        </w:rPr>
        <w:t>6.259,48</w:t>
      </w:r>
      <w:r w:rsidRPr="008403C5">
        <w:rPr>
          <w:rFonts w:ascii="Times New Roman" w:hAnsi="Times New Roman" w:cs="Times New Roman"/>
        </w:rPr>
        <w:t xml:space="preserve"> m² de recapeamento asfáltico em CBUQ (Concreto Betuminoso Usinado a Quente).</w:t>
      </w:r>
    </w:p>
    <w:p w14:paraId="2DA96CC3"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9.37.2. Serão admitidos, para fins de comprovação de quantitativo mínimo de serviço, a apresentação e o somatório de diferentes atestados de serviços executados de forma concomitante, pois essa situação equivale, para fins de comprovação de capacidade técnico-operacional, a uma única contratação.</w:t>
      </w:r>
    </w:p>
    <w:p w14:paraId="57BE3E1E"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lastRenderedPageBreak/>
        <w:t>9.37.3.</w:t>
      </w:r>
      <w:r w:rsidRPr="008403C5">
        <w:rPr>
          <w:rFonts w:ascii="Times New Roman" w:hAnsi="Times New Roman" w:cs="Times New Roman"/>
        </w:rPr>
        <w:tab/>
        <w:t>Os atestados de capacidade técnica poderão ser apresentados em nome da matriz ou da filial do fornecedor.</w:t>
      </w:r>
    </w:p>
    <w:p w14:paraId="3861F777"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9.37.4.</w:t>
      </w:r>
      <w:r w:rsidRPr="008403C5">
        <w:rPr>
          <w:rFonts w:ascii="Times New Roman" w:hAnsi="Times New Roman" w:cs="Times New Roman"/>
        </w:rPr>
        <w:tab/>
        <w:t>O fornecedor disponibilizará todas as informações necessárias à comprovação da legitimidade dos atestados, apresentando, quando solicitado pela Administração, cópia do contrato que deu suporte à contratação, endereço atual do Contratante e local em que foi executado o objeto contratado, dentre outros documentos.</w:t>
      </w:r>
    </w:p>
    <w:p w14:paraId="215F5FA8"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9.37.5.</w:t>
      </w:r>
      <w:r w:rsidRPr="008403C5">
        <w:rPr>
          <w:rFonts w:ascii="Times New Roman" w:hAnsi="Times New Roman" w:cs="Times New Roman"/>
        </w:rPr>
        <w:tab/>
        <w:t>Os atestados deverão referir-se a serviços prestados no âmbito de sua atividade econômica principal ou secundária especificadas no contrato social vigente</w:t>
      </w:r>
    </w:p>
    <w:p w14:paraId="62E5782F"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9.38.</w:t>
      </w:r>
      <w:r w:rsidRPr="008403C5">
        <w:rPr>
          <w:rFonts w:ascii="Times New Roman" w:hAnsi="Times New Roman" w:cs="Times New Roman"/>
        </w:rPr>
        <w:tab/>
        <w:t>Serão aceitos atestados ou outros documentos hábeis emitidos por entidades estrangeiras quando acompanhados de tradução para o português, salvo se comprovada a inidoneidade da entidade emissora.</w:t>
      </w:r>
    </w:p>
    <w:p w14:paraId="1840A035"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9.39.</w:t>
      </w:r>
      <w:r w:rsidRPr="008403C5">
        <w:rPr>
          <w:rFonts w:ascii="Times New Roman" w:hAnsi="Times New Roman" w:cs="Times New Roman"/>
        </w:rPr>
        <w:tab/>
        <w:t>A apresentação, pelo fornecedor, de certidões ou atestados de desempenho anterior emitido em favor de consórcio do qual tenha feito parte será admitida, desde que atendidos os requisitos do art. 67, §§ 10 e 11, da Lei nº 14.133/2021 e regulamentos sobre o tema.</w:t>
      </w:r>
    </w:p>
    <w:p w14:paraId="024ED1C5"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Disposições gerais sobre habilitação</w:t>
      </w:r>
    </w:p>
    <w:p w14:paraId="24D2351B"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9.40.</w:t>
      </w:r>
      <w:r w:rsidRPr="008403C5">
        <w:rPr>
          <w:rFonts w:ascii="Times New Roman" w:hAnsi="Times New Roman" w:cs="Times New Roman"/>
        </w:rPr>
        <w:tab/>
        <w:t>Quando permitida a participação de empresas estrangeiras que não funcionem no País, as exigências de habilitação serão atendidas mediante documentos equivalentes, inicialmente apresentados em tradução livre.</w:t>
      </w:r>
    </w:p>
    <w:p w14:paraId="2F4C0BAD"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9.41.</w:t>
      </w:r>
      <w:r w:rsidRPr="008403C5">
        <w:rPr>
          <w:rFonts w:ascii="Times New Roman" w:hAnsi="Times New Roman" w:cs="Times New Roman"/>
        </w:rPr>
        <w:tab/>
        <w:t xml:space="preserve">Na hipótese de o fornecedor ser empresa estrangeira que não funcione no País, para assinatura do contrato ou da ata de registro de preços ou do aceite do instrumento equivalente, os documentos exigidos para a habilitação serão traduzidos por tradutor juramentado no País e apostilados nos termos do disposto no Decreto nº 8.660, de 29 de janeiro de 2016, ou de outro que venha a substituí-lo, ou </w:t>
      </w:r>
      <w:proofErr w:type="spellStart"/>
      <w:r w:rsidRPr="008403C5">
        <w:rPr>
          <w:rFonts w:ascii="Times New Roman" w:hAnsi="Times New Roman" w:cs="Times New Roman"/>
        </w:rPr>
        <w:t>consularizados</w:t>
      </w:r>
      <w:proofErr w:type="spellEnd"/>
      <w:r w:rsidRPr="008403C5">
        <w:rPr>
          <w:rFonts w:ascii="Times New Roman" w:hAnsi="Times New Roman" w:cs="Times New Roman"/>
        </w:rPr>
        <w:t xml:space="preserve"> pelos respectivos consulados ou embaixadas.</w:t>
      </w:r>
    </w:p>
    <w:p w14:paraId="1368C58A"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9.42.</w:t>
      </w:r>
      <w:r w:rsidRPr="008403C5">
        <w:rPr>
          <w:rFonts w:ascii="Times New Roman" w:hAnsi="Times New Roman" w:cs="Times New Roman"/>
        </w:rPr>
        <w:tab/>
        <w:t>Não serão aceitos documentos de habilitação com indicação de CNPJ/CPF diferentes, salvo aqueles legalmente permitidos.</w:t>
      </w:r>
    </w:p>
    <w:p w14:paraId="356F02DE"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9.43.</w:t>
      </w:r>
      <w:r w:rsidRPr="008403C5">
        <w:rPr>
          <w:rFonts w:ascii="Times New Roman" w:hAnsi="Times New Roman" w:cs="Times New Roman"/>
        </w:rPr>
        <w:tab/>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7ECDE047"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9.44.</w:t>
      </w:r>
      <w:r w:rsidRPr="008403C5">
        <w:rPr>
          <w:rFonts w:ascii="Times New Roman" w:hAnsi="Times New Roman" w:cs="Times New Roman"/>
        </w:rPr>
        <w:tab/>
        <w:t>Serão aceitos registros de CNPJ de fornecedor matriz e filial com diferenças de números de documentos pertinentes ao CND e ao CRF/FGTS, quando for comprovada a centralização do recolhimento dessas contribuições.</w:t>
      </w:r>
    </w:p>
    <w:p w14:paraId="3B21F7A2"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Documentação complementar para cooperativas</w:t>
      </w:r>
    </w:p>
    <w:p w14:paraId="2125D4CD"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9.45.</w:t>
      </w:r>
      <w:r w:rsidRPr="008403C5">
        <w:rPr>
          <w:rFonts w:ascii="Times New Roman" w:hAnsi="Times New Roman" w:cs="Times New Roman"/>
        </w:rPr>
        <w:tab/>
        <w:t>Caso admitida a participação de cooperativas, será exigida a seguinte documentação complementar:</w:t>
      </w:r>
    </w:p>
    <w:p w14:paraId="436172DF"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lastRenderedPageBreak/>
        <w:t>9.45.1.</w:t>
      </w:r>
      <w:r w:rsidRPr="008403C5">
        <w:rPr>
          <w:rFonts w:ascii="Times New Roman" w:hAnsi="Times New Roman" w:cs="Times New Roman"/>
        </w:rPr>
        <w:tab/>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proofErr w:type="spellStart"/>
      <w:r w:rsidRPr="008403C5">
        <w:rPr>
          <w:rFonts w:ascii="Times New Roman" w:hAnsi="Times New Roman" w:cs="Times New Roman"/>
        </w:rPr>
        <w:t>arts</w:t>
      </w:r>
      <w:proofErr w:type="spellEnd"/>
      <w:r w:rsidRPr="008403C5">
        <w:rPr>
          <w:rFonts w:ascii="Times New Roman" w:hAnsi="Times New Roman" w:cs="Times New Roman"/>
        </w:rPr>
        <w:t>. 4º, inciso XI, 21, inciso I e 42, §§2º a 6º da Lei n. 5.764, de 1971;</w:t>
      </w:r>
    </w:p>
    <w:p w14:paraId="0C80A9E9"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9.45.2.</w:t>
      </w:r>
      <w:r w:rsidRPr="008403C5">
        <w:rPr>
          <w:rFonts w:ascii="Times New Roman" w:hAnsi="Times New Roman" w:cs="Times New Roman"/>
        </w:rPr>
        <w:tab/>
        <w:t>A declaração de regularidade de situação do contribuinte individual – DRSCI, para cada um dos cooperados indicados;</w:t>
      </w:r>
    </w:p>
    <w:p w14:paraId="3F02FB67"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9.45.3.</w:t>
      </w:r>
      <w:r w:rsidRPr="008403C5">
        <w:rPr>
          <w:rFonts w:ascii="Times New Roman" w:hAnsi="Times New Roman" w:cs="Times New Roman"/>
        </w:rPr>
        <w:tab/>
        <w:t xml:space="preserve">A comprovação do capital social proporcional ao número de cooperados necessários à prestação do serviço; </w:t>
      </w:r>
    </w:p>
    <w:p w14:paraId="70737B40"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9.45.4.</w:t>
      </w:r>
      <w:r w:rsidRPr="008403C5">
        <w:rPr>
          <w:rFonts w:ascii="Times New Roman" w:hAnsi="Times New Roman" w:cs="Times New Roman"/>
        </w:rPr>
        <w:tab/>
        <w:t>O registro previsto na Lei n. 5.764, de 1971, art. 107;</w:t>
      </w:r>
    </w:p>
    <w:p w14:paraId="194C487A"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9.45.5.</w:t>
      </w:r>
      <w:r w:rsidRPr="008403C5">
        <w:rPr>
          <w:rFonts w:ascii="Times New Roman" w:hAnsi="Times New Roman" w:cs="Times New Roman"/>
        </w:rPr>
        <w:tab/>
        <w:t>A comprovação de integração das respectivas quotas-partes por parte dos cooperados que executarão o contrato;</w:t>
      </w:r>
    </w:p>
    <w:p w14:paraId="1E853E79"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9.45.6.</w:t>
      </w:r>
      <w:r w:rsidRPr="008403C5">
        <w:rPr>
          <w:rFonts w:ascii="Times New Roman" w:hAnsi="Times New Roman" w:cs="Times New Roman"/>
        </w:rPr>
        <w:tab/>
        <w:t>Os seguintes documentos para a comprovação da regularidade jurídica da cooperativa:</w:t>
      </w:r>
    </w:p>
    <w:p w14:paraId="78BA6CBD"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9.45.6.1. ata de fundação;</w:t>
      </w:r>
    </w:p>
    <w:p w14:paraId="22EA8520"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9.45.6.2. estatuto social com a ata da assembleia que o aprovou;</w:t>
      </w:r>
    </w:p>
    <w:p w14:paraId="1A01D6D9"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9.45.6.3. regimento dos fundos instituídos pelos cooperados, com a ata da assembleia;</w:t>
      </w:r>
    </w:p>
    <w:p w14:paraId="539BFB7A"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9.45.6.4. editais de convocação das três últimas assembleias gerais extraordinárias;</w:t>
      </w:r>
    </w:p>
    <w:p w14:paraId="220B5D73"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9.45.6.5. três registros de presença dos cooperados que executarão o contrato em assembleias gerais ou nas reuniões seccionais;</w:t>
      </w:r>
    </w:p>
    <w:p w14:paraId="290CCE5C"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9.45.6.6.ata da sessão que os cooperados autorizaram a cooperativa a contratar o objeto da contratação; e</w:t>
      </w:r>
    </w:p>
    <w:p w14:paraId="6B556122" w14:textId="77777777" w:rsidR="003700A5" w:rsidRPr="008403C5" w:rsidRDefault="003700A5" w:rsidP="003700A5">
      <w:pPr>
        <w:spacing w:before="0" w:after="0"/>
        <w:ind w:left="993" w:right="-1" w:hanging="709"/>
        <w:rPr>
          <w:rFonts w:ascii="Times New Roman" w:hAnsi="Times New Roman" w:cs="Times New Roman"/>
        </w:rPr>
      </w:pPr>
      <w:r w:rsidRPr="008403C5">
        <w:rPr>
          <w:rFonts w:ascii="Times New Roman" w:hAnsi="Times New Roman" w:cs="Times New Roman"/>
        </w:rPr>
        <w:t>9.45.6.7. última auditoria contábil-financeira da cooperativa, conforme dispõe o art. 112 da Lei n. 5.764, de 1971, ou uma declaração, sob as penas da lei, de que tal auditoria não foi exigida pelo órgão fiscalizador.</w:t>
      </w:r>
    </w:p>
    <w:p w14:paraId="457C3AA8" w14:textId="77777777" w:rsidR="003700A5" w:rsidRPr="008403C5" w:rsidRDefault="003700A5" w:rsidP="003700A5">
      <w:pPr>
        <w:spacing w:before="0" w:after="0"/>
        <w:ind w:left="284" w:right="-1" w:hanging="284"/>
        <w:rPr>
          <w:rFonts w:ascii="Times New Roman" w:hAnsi="Times New Roman" w:cs="Times New Roman"/>
        </w:rPr>
      </w:pPr>
    </w:p>
    <w:p w14:paraId="49E308AF"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10.</w:t>
      </w:r>
      <w:r w:rsidRPr="008403C5">
        <w:rPr>
          <w:rFonts w:ascii="Times New Roman" w:hAnsi="Times New Roman" w:cs="Times New Roman"/>
          <w:b/>
          <w:bCs/>
        </w:rPr>
        <w:tab/>
        <w:t>ESTIMATIVAS DO VALOR DA CONTRATAÇÃO</w:t>
      </w:r>
    </w:p>
    <w:p w14:paraId="60775E94" w14:textId="10420C94" w:rsidR="003700A5" w:rsidRPr="008403C5" w:rsidRDefault="003700A5" w:rsidP="007A44F7">
      <w:pPr>
        <w:spacing w:before="0" w:after="0"/>
        <w:ind w:left="284" w:right="-1" w:hanging="284"/>
        <w:rPr>
          <w:rFonts w:ascii="Times New Roman" w:hAnsi="Times New Roman" w:cs="Times New Roman"/>
        </w:rPr>
      </w:pPr>
      <w:r w:rsidRPr="008403C5">
        <w:rPr>
          <w:rFonts w:ascii="Times New Roman" w:hAnsi="Times New Roman" w:cs="Times New Roman"/>
        </w:rPr>
        <w:t>10.1.</w:t>
      </w:r>
      <w:r w:rsidRPr="008403C5">
        <w:rPr>
          <w:rFonts w:ascii="Times New Roman" w:hAnsi="Times New Roman" w:cs="Times New Roman"/>
        </w:rPr>
        <w:tab/>
        <w:t xml:space="preserve">O custo estimado total da contratação, que corresponde ao valor máximo aceitável, é de </w:t>
      </w:r>
      <w:r w:rsidRPr="008403C5">
        <w:rPr>
          <w:rFonts w:ascii="Times New Roman" w:hAnsi="Times New Roman" w:cs="Times New Roman"/>
          <w:b/>
          <w:bCs/>
        </w:rPr>
        <w:t xml:space="preserve">R$ </w:t>
      </w:r>
      <w:r w:rsidR="00D243B6" w:rsidRPr="008403C5">
        <w:rPr>
          <w:rFonts w:ascii="Times New Roman" w:hAnsi="Times New Roman" w:cs="Times New Roman"/>
          <w:b/>
          <w:bCs/>
        </w:rPr>
        <w:t xml:space="preserve">746.673,72 </w:t>
      </w:r>
      <w:r w:rsidRPr="008403C5">
        <w:rPr>
          <w:rFonts w:ascii="Times New Roman" w:hAnsi="Times New Roman" w:cs="Times New Roman"/>
        </w:rPr>
        <w:t>(</w:t>
      </w:r>
      <w:r w:rsidR="00D243B6" w:rsidRPr="008403C5">
        <w:rPr>
          <w:rFonts w:ascii="Times New Roman" w:hAnsi="Times New Roman" w:cs="Times New Roman"/>
        </w:rPr>
        <w:t>setecentos e quarenta e seis mil seiscentos e setenta e três reais e setenta e dois centavos</w:t>
      </w:r>
      <w:r w:rsidRPr="008403C5">
        <w:rPr>
          <w:rFonts w:ascii="Times New Roman" w:hAnsi="Times New Roman" w:cs="Times New Roman"/>
        </w:rPr>
        <w:t>), conforme custos unitários apostos na tabela contida no item 1.1 acima, bem como planilha orçamentária equivalente, anexada ao processo.</w:t>
      </w:r>
    </w:p>
    <w:p w14:paraId="50E94C4D" w14:textId="77777777" w:rsidR="007A44F7" w:rsidRPr="008403C5" w:rsidRDefault="007A44F7" w:rsidP="007A44F7">
      <w:pPr>
        <w:spacing w:before="0" w:after="0"/>
        <w:ind w:left="284" w:right="-1" w:hanging="284"/>
        <w:rPr>
          <w:rFonts w:ascii="Times New Roman" w:hAnsi="Times New Roman" w:cs="Times New Roman"/>
        </w:rPr>
      </w:pPr>
    </w:p>
    <w:p w14:paraId="5E744428" w14:textId="77777777" w:rsidR="003700A5" w:rsidRPr="008403C5" w:rsidRDefault="003700A5" w:rsidP="003700A5">
      <w:pPr>
        <w:spacing w:before="0" w:after="0"/>
        <w:ind w:left="284" w:right="-1" w:hanging="284"/>
        <w:rPr>
          <w:rFonts w:ascii="Times New Roman" w:hAnsi="Times New Roman" w:cs="Times New Roman"/>
          <w:b/>
          <w:bCs/>
        </w:rPr>
      </w:pPr>
      <w:r w:rsidRPr="008403C5">
        <w:rPr>
          <w:rFonts w:ascii="Times New Roman" w:hAnsi="Times New Roman" w:cs="Times New Roman"/>
          <w:b/>
          <w:bCs/>
        </w:rPr>
        <w:t>11.</w:t>
      </w:r>
      <w:r w:rsidRPr="008403C5">
        <w:rPr>
          <w:rFonts w:ascii="Times New Roman" w:hAnsi="Times New Roman" w:cs="Times New Roman"/>
          <w:b/>
          <w:bCs/>
        </w:rPr>
        <w:tab/>
        <w:t>ADEQUAÇÃO ORÇAMENTÁRIA</w:t>
      </w:r>
    </w:p>
    <w:p w14:paraId="2D679E0E"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t>11.1.</w:t>
      </w:r>
      <w:r w:rsidRPr="008403C5">
        <w:rPr>
          <w:rFonts w:ascii="Times New Roman" w:hAnsi="Times New Roman" w:cs="Times New Roman"/>
        </w:rPr>
        <w:tab/>
        <w:t xml:space="preserve">As despesas decorrentes da presente contratação correrão à conta de recursos específicos consignados no Orçamento Geral do Município, na seguinte dotação: </w:t>
      </w:r>
    </w:p>
    <w:p w14:paraId="7B274BA9" w14:textId="05A6C4BF" w:rsidR="003700A5" w:rsidRPr="008403C5" w:rsidRDefault="003700A5" w:rsidP="003700A5">
      <w:pPr>
        <w:numPr>
          <w:ilvl w:val="0"/>
          <w:numId w:val="3"/>
        </w:numPr>
        <w:spacing w:before="0" w:after="0"/>
        <w:ind w:left="284" w:right="-1" w:hanging="284"/>
        <w:rPr>
          <w:rFonts w:ascii="Times New Roman" w:hAnsi="Times New Roman" w:cs="Times New Roman"/>
        </w:rPr>
      </w:pPr>
      <w:r w:rsidRPr="008403C5">
        <w:rPr>
          <w:rFonts w:ascii="Times New Roman" w:hAnsi="Times New Roman" w:cs="Times New Roman"/>
        </w:rPr>
        <w:t>02.66.15.451.</w:t>
      </w:r>
      <w:r w:rsidR="00825F9B" w:rsidRPr="008403C5">
        <w:rPr>
          <w:rFonts w:ascii="Times New Roman" w:hAnsi="Times New Roman" w:cs="Times New Roman"/>
        </w:rPr>
        <w:t xml:space="preserve">1110.1008 </w:t>
      </w:r>
      <w:r w:rsidRPr="008403C5">
        <w:rPr>
          <w:rFonts w:ascii="Times New Roman" w:hAnsi="Times New Roman" w:cs="Times New Roman"/>
        </w:rPr>
        <w:t>– PAVIMENTACAO E RECAP DE VIAS URBANAS</w:t>
      </w:r>
    </w:p>
    <w:p w14:paraId="2D8E84A9" w14:textId="7CBAFDE0" w:rsidR="003700A5" w:rsidRPr="008403C5" w:rsidRDefault="003700A5" w:rsidP="003700A5">
      <w:pPr>
        <w:numPr>
          <w:ilvl w:val="0"/>
          <w:numId w:val="3"/>
        </w:numPr>
        <w:spacing w:before="0" w:after="0"/>
        <w:ind w:left="284" w:right="-1" w:hanging="284"/>
        <w:rPr>
          <w:rFonts w:ascii="Times New Roman" w:hAnsi="Times New Roman" w:cs="Times New Roman"/>
        </w:rPr>
      </w:pPr>
      <w:r w:rsidRPr="008403C5">
        <w:rPr>
          <w:rFonts w:ascii="Times New Roman" w:hAnsi="Times New Roman" w:cs="Times New Roman"/>
        </w:rPr>
        <w:t>4.4.90.51</w:t>
      </w:r>
      <w:r w:rsidR="00825F9B" w:rsidRPr="008403C5">
        <w:rPr>
          <w:rFonts w:ascii="Times New Roman" w:hAnsi="Times New Roman" w:cs="Times New Roman"/>
        </w:rPr>
        <w:t>.00</w:t>
      </w:r>
      <w:r w:rsidRPr="008403C5">
        <w:rPr>
          <w:rFonts w:ascii="Times New Roman" w:hAnsi="Times New Roman" w:cs="Times New Roman"/>
        </w:rPr>
        <w:t xml:space="preserve"> – OBRAS E INSTALACOES</w:t>
      </w:r>
    </w:p>
    <w:p w14:paraId="4F842162" w14:textId="016F5932" w:rsidR="003700A5" w:rsidRPr="008403C5" w:rsidRDefault="003700A5" w:rsidP="003700A5">
      <w:pPr>
        <w:numPr>
          <w:ilvl w:val="0"/>
          <w:numId w:val="3"/>
        </w:numPr>
        <w:spacing w:before="0" w:after="0"/>
        <w:ind w:left="284" w:right="-1" w:hanging="284"/>
        <w:rPr>
          <w:rFonts w:ascii="Times New Roman" w:hAnsi="Times New Roman" w:cs="Times New Roman"/>
        </w:rPr>
      </w:pPr>
      <w:r w:rsidRPr="008403C5">
        <w:rPr>
          <w:rFonts w:ascii="Times New Roman" w:hAnsi="Times New Roman" w:cs="Times New Roman"/>
        </w:rPr>
        <w:t>FONTE: 100/123</w:t>
      </w:r>
      <w:r w:rsidR="00825F9B" w:rsidRPr="008403C5">
        <w:rPr>
          <w:rFonts w:ascii="Times New Roman" w:hAnsi="Times New Roman" w:cs="Times New Roman"/>
        </w:rPr>
        <w:t>/180</w:t>
      </w:r>
      <w:r w:rsidRPr="008403C5">
        <w:rPr>
          <w:rFonts w:ascii="Times New Roman" w:hAnsi="Times New Roman" w:cs="Times New Roman"/>
        </w:rPr>
        <w:t xml:space="preserve"> – FICHA 02</w:t>
      </w:r>
      <w:r w:rsidR="00825F9B" w:rsidRPr="008403C5">
        <w:rPr>
          <w:rFonts w:ascii="Times New Roman" w:hAnsi="Times New Roman" w:cs="Times New Roman"/>
        </w:rPr>
        <w:t>04</w:t>
      </w:r>
    </w:p>
    <w:p w14:paraId="1B018C36" w14:textId="77777777" w:rsidR="003700A5" w:rsidRPr="008403C5" w:rsidRDefault="003700A5" w:rsidP="003700A5">
      <w:pPr>
        <w:spacing w:before="0" w:after="0"/>
        <w:ind w:left="284" w:right="-1" w:hanging="284"/>
        <w:rPr>
          <w:rFonts w:ascii="Times New Roman" w:hAnsi="Times New Roman" w:cs="Times New Roman"/>
        </w:rPr>
      </w:pPr>
      <w:r w:rsidRPr="008403C5">
        <w:rPr>
          <w:rFonts w:ascii="Times New Roman" w:hAnsi="Times New Roman" w:cs="Times New Roman"/>
        </w:rPr>
        <w:lastRenderedPageBreak/>
        <w:t>11.2.</w:t>
      </w:r>
      <w:r w:rsidRPr="008403C5">
        <w:rPr>
          <w:rFonts w:ascii="Times New Roman" w:hAnsi="Times New Roman" w:cs="Times New Roman"/>
        </w:rPr>
        <w:tab/>
        <w:t>A dotação relativa aos exercícios financeiros subsequentes será indicada após aprovação da Lei Orçamentária respectiva e liberação dos créditos correspondentes, mediante apostilamento.</w:t>
      </w:r>
    </w:p>
    <w:p w14:paraId="256CC4C4" w14:textId="77777777" w:rsidR="003700A5" w:rsidRPr="008403C5" w:rsidRDefault="003700A5" w:rsidP="003700A5">
      <w:pPr>
        <w:spacing w:before="0" w:after="0"/>
        <w:ind w:left="284" w:right="-1" w:hanging="284"/>
        <w:rPr>
          <w:rFonts w:ascii="Times New Roman" w:hAnsi="Times New Roman" w:cs="Times New Roman"/>
        </w:rPr>
      </w:pPr>
    </w:p>
    <w:p w14:paraId="057F19BE" w14:textId="35177D04" w:rsidR="00B13A4B" w:rsidRPr="008403C5" w:rsidRDefault="00B13A4B" w:rsidP="00825F9B">
      <w:pPr>
        <w:spacing w:before="0" w:after="0"/>
        <w:ind w:left="284" w:right="-1" w:hanging="284"/>
        <w:jc w:val="center"/>
        <w:rPr>
          <w:rFonts w:ascii="Times New Roman" w:hAnsi="Times New Roman" w:cs="Times New Roman"/>
          <w:sz w:val="20"/>
          <w:szCs w:val="20"/>
        </w:rPr>
      </w:pPr>
    </w:p>
    <w:sectPr w:rsidR="00B13A4B" w:rsidRPr="008403C5" w:rsidSect="00BF7376">
      <w:headerReference w:type="even" r:id="rId9"/>
      <w:headerReference w:type="default" r:id="rId10"/>
      <w:headerReference w:type="first" r:id="rId11"/>
      <w:pgSz w:w="11906" w:h="16838"/>
      <w:pgMar w:top="1701" w:right="1133" w:bottom="1417" w:left="1701" w:header="147"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6005B2" w14:textId="77777777" w:rsidR="005F4E30" w:rsidRDefault="005F4E30" w:rsidP="004C07D0">
      <w:pPr>
        <w:spacing w:after="0" w:line="240" w:lineRule="auto"/>
      </w:pPr>
      <w:r>
        <w:separator/>
      </w:r>
    </w:p>
  </w:endnote>
  <w:endnote w:type="continuationSeparator" w:id="0">
    <w:p w14:paraId="20E81362" w14:textId="77777777" w:rsidR="005F4E30" w:rsidRDefault="005F4E30" w:rsidP="004C07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B983C2" w14:textId="77777777" w:rsidR="005F4E30" w:rsidRDefault="005F4E30" w:rsidP="004C07D0">
      <w:pPr>
        <w:spacing w:after="0" w:line="240" w:lineRule="auto"/>
      </w:pPr>
      <w:r>
        <w:separator/>
      </w:r>
    </w:p>
  </w:footnote>
  <w:footnote w:type="continuationSeparator" w:id="0">
    <w:p w14:paraId="133E181D" w14:textId="77777777" w:rsidR="005F4E30" w:rsidRDefault="005F4E30" w:rsidP="004C07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60166E" w14:textId="77777777" w:rsidR="004C07D0" w:rsidRDefault="00000000">
    <w:pPr>
      <w:pStyle w:val="Cabealho"/>
    </w:pPr>
    <w:r>
      <w:rPr>
        <w:noProof/>
      </w:rPr>
      <w:pict w14:anchorId="64EC7A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0683782" o:spid="_x0000_s1029" type="#_x0000_t75" style="position:absolute;left:0;text-align:left;margin-left:0;margin-top:0;width:595.45pt;height:841.9pt;z-index:-251657216;mso-position-horizontal:center;mso-position-horizontal-relative:margin;mso-position-vertical:center;mso-position-vertical-relative:margin" o:allowincell="f">
          <v:imagedata r:id="rId1" o:title="PREF SANTA HELENA DE GOIÁS - PAPEL TIMBRADO"/>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183EA" w14:textId="21718B6C" w:rsidR="00BF7376" w:rsidRDefault="00BF7376" w:rsidP="008222A1">
    <w:pPr>
      <w:pStyle w:val="Cabealho"/>
      <w:tabs>
        <w:tab w:val="clear" w:pos="4252"/>
        <w:tab w:val="clear" w:pos="8504"/>
        <w:tab w:val="left" w:pos="1890"/>
      </w:tabs>
      <w:jc w:val="right"/>
      <w:rPr>
        <w:rFonts w:cs="Arial"/>
        <w:sz w:val="14"/>
        <w:szCs w:val="14"/>
      </w:rPr>
    </w:pPr>
    <w:r w:rsidRPr="00D8465E">
      <w:rPr>
        <w:rFonts w:cs="Arial"/>
        <w:noProof/>
        <w:sz w:val="14"/>
        <w:szCs w:val="14"/>
        <w:lang w:eastAsia="pt-BR"/>
      </w:rPr>
      <w:drawing>
        <wp:anchor distT="0" distB="0" distL="114300" distR="114300" simplePos="0" relativeHeight="251660288" behindDoc="1" locked="0" layoutInCell="1" allowOverlap="1" wp14:anchorId="22DF35F0" wp14:editId="02E5B4B7">
          <wp:simplePos x="0" y="0"/>
          <wp:positionH relativeFrom="margin">
            <wp:posOffset>-1085215</wp:posOffset>
          </wp:positionH>
          <wp:positionV relativeFrom="paragraph">
            <wp:posOffset>-93345</wp:posOffset>
          </wp:positionV>
          <wp:extent cx="7561320" cy="10699845"/>
          <wp:effectExtent l="0" t="0" r="1905" b="6350"/>
          <wp:wrapNone/>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1320" cy="106998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F492B0" w14:textId="77777777" w:rsidR="00BF7376" w:rsidRDefault="00BF7376" w:rsidP="008222A1">
    <w:pPr>
      <w:pStyle w:val="Cabealho"/>
      <w:tabs>
        <w:tab w:val="clear" w:pos="4252"/>
        <w:tab w:val="clear" w:pos="8504"/>
        <w:tab w:val="left" w:pos="1890"/>
      </w:tabs>
      <w:jc w:val="right"/>
      <w:rPr>
        <w:rFonts w:cs="Arial"/>
        <w:sz w:val="14"/>
        <w:szCs w:val="14"/>
      </w:rPr>
    </w:pPr>
  </w:p>
  <w:p w14:paraId="5F4C5A6F" w14:textId="6EA09498" w:rsidR="000D17F3" w:rsidRPr="003E66BE" w:rsidRDefault="00D8465E" w:rsidP="008222A1">
    <w:pPr>
      <w:pStyle w:val="Cabealho"/>
      <w:tabs>
        <w:tab w:val="clear" w:pos="4252"/>
        <w:tab w:val="clear" w:pos="8504"/>
        <w:tab w:val="left" w:pos="1890"/>
      </w:tabs>
      <w:jc w:val="right"/>
      <w:rPr>
        <w:rFonts w:cs="Arial"/>
        <w:sz w:val="12"/>
        <w:szCs w:val="12"/>
      </w:rPr>
    </w:pPr>
    <w:r w:rsidRPr="003E66BE">
      <w:rPr>
        <w:rFonts w:cs="Arial"/>
        <w:sz w:val="12"/>
        <w:szCs w:val="12"/>
      </w:rPr>
      <w:t>SUPERINTENDÊNCIA DE ENGENHARIA E OBRAS CIVIS</w:t>
    </w:r>
  </w:p>
  <w:p w14:paraId="32F055E0" w14:textId="776C4A10" w:rsidR="00BE1409" w:rsidRPr="00D8465E" w:rsidRDefault="000D17F3" w:rsidP="008222A1">
    <w:pPr>
      <w:pStyle w:val="Cabealho"/>
      <w:tabs>
        <w:tab w:val="clear" w:pos="4252"/>
        <w:tab w:val="clear" w:pos="8504"/>
        <w:tab w:val="left" w:pos="1890"/>
      </w:tabs>
      <w:jc w:val="center"/>
      <w:rPr>
        <w:rFonts w:cs="Arial"/>
        <w:sz w:val="14"/>
        <w:szCs w:val="14"/>
      </w:rPr>
    </w:pPr>
    <w:r w:rsidRPr="003E66BE">
      <w:rPr>
        <w:rFonts w:cs="Arial"/>
        <w:sz w:val="12"/>
        <w:szCs w:val="12"/>
      </w:rPr>
      <w:t xml:space="preserve">                                                                                                                                                                      </w:t>
    </w:r>
    <w:r w:rsidR="003E66BE">
      <w:rPr>
        <w:rFonts w:cs="Arial"/>
        <w:sz w:val="12"/>
        <w:szCs w:val="12"/>
      </w:rPr>
      <w:t xml:space="preserve">                       </w:t>
    </w:r>
    <w:r w:rsidRPr="003E66BE">
      <w:rPr>
        <w:rFonts w:cs="Arial"/>
        <w:sz w:val="12"/>
        <w:szCs w:val="12"/>
      </w:rPr>
      <w:t xml:space="preserve"> 2025-2028</w:t>
    </w:r>
    <w:r w:rsidR="00D8465E" w:rsidRPr="00D8465E">
      <w:rPr>
        <w:rFonts w:cs="Arial"/>
        <w:sz w:val="14"/>
        <w:szCs w:val="14"/>
      </w:rPr>
      <w:tab/>
    </w:r>
  </w:p>
  <w:p w14:paraId="491B38E2" w14:textId="06D72701" w:rsidR="004C07D0" w:rsidRDefault="003D7D92" w:rsidP="003D7D92">
    <w:pPr>
      <w:pStyle w:val="Cabealho"/>
      <w:tabs>
        <w:tab w:val="clear" w:pos="4252"/>
        <w:tab w:val="clear" w:pos="8504"/>
        <w:tab w:val="left" w:pos="2745"/>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9A4745" w14:textId="77777777" w:rsidR="004C07D0" w:rsidRDefault="00000000">
    <w:pPr>
      <w:pStyle w:val="Cabealho"/>
    </w:pPr>
    <w:r>
      <w:rPr>
        <w:noProof/>
      </w:rPr>
      <w:pict w14:anchorId="0A6620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0683781" o:spid="_x0000_s1028" type="#_x0000_t75" style="position:absolute;left:0;text-align:left;margin-left:0;margin-top:0;width:595.45pt;height:841.9pt;z-index:-251658240;mso-position-horizontal:center;mso-position-horizontal-relative:margin;mso-position-vertical:center;mso-position-vertical-relative:margin" o:allowincell="f">
          <v:imagedata r:id="rId1" o:title="PREF SANTA HELENA DE GOIÁS - PAPEL TIMBRADO"/>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E16B4"/>
    <w:multiLevelType w:val="hybridMultilevel"/>
    <w:tmpl w:val="5A68CC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292F287A"/>
    <w:multiLevelType w:val="hybridMultilevel"/>
    <w:tmpl w:val="0720B4A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3FD92D0C"/>
    <w:multiLevelType w:val="hybridMultilevel"/>
    <w:tmpl w:val="EA4E670E"/>
    <w:lvl w:ilvl="0" w:tplc="E7507F54">
      <w:start w:val="1"/>
      <w:numFmt w:val="upperRoman"/>
      <w:lvlText w:val="%1."/>
      <w:lvlJc w:val="left"/>
      <w:pPr>
        <w:ind w:left="1080" w:hanging="720"/>
      </w:pPr>
      <w:rPr>
        <w:rFonts w:hint="default"/>
        <w:b/>
        <w:bCs/>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76224F70"/>
    <w:multiLevelType w:val="hybridMultilevel"/>
    <w:tmpl w:val="A8C63E32"/>
    <w:lvl w:ilvl="0" w:tplc="7A603662">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num w:numId="1" w16cid:durableId="1342395705">
    <w:abstractNumId w:val="2"/>
  </w:num>
  <w:num w:numId="2" w16cid:durableId="1064253858">
    <w:abstractNumId w:val="3"/>
  </w:num>
  <w:num w:numId="3" w16cid:durableId="822702946">
    <w:abstractNumId w:val="1"/>
  </w:num>
  <w:num w:numId="4" w16cid:durableId="16650859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07D0"/>
    <w:rsid w:val="000103E2"/>
    <w:rsid w:val="00046E36"/>
    <w:rsid w:val="00056C4C"/>
    <w:rsid w:val="00076F96"/>
    <w:rsid w:val="000B2BBA"/>
    <w:rsid w:val="000C1C7F"/>
    <w:rsid w:val="000C71BC"/>
    <w:rsid w:val="000D17F3"/>
    <w:rsid w:val="000E6D69"/>
    <w:rsid w:val="00141FDF"/>
    <w:rsid w:val="00172474"/>
    <w:rsid w:val="00190995"/>
    <w:rsid w:val="001933A4"/>
    <w:rsid w:val="001E5EF7"/>
    <w:rsid w:val="0020476E"/>
    <w:rsid w:val="002207A5"/>
    <w:rsid w:val="0023722F"/>
    <w:rsid w:val="00285FD5"/>
    <w:rsid w:val="002C43F8"/>
    <w:rsid w:val="002C4F80"/>
    <w:rsid w:val="0030077D"/>
    <w:rsid w:val="00301B29"/>
    <w:rsid w:val="00315F8C"/>
    <w:rsid w:val="00326C51"/>
    <w:rsid w:val="00366FD0"/>
    <w:rsid w:val="003700A5"/>
    <w:rsid w:val="003815F9"/>
    <w:rsid w:val="003D7D92"/>
    <w:rsid w:val="003E2E81"/>
    <w:rsid w:val="003E66BE"/>
    <w:rsid w:val="004008E9"/>
    <w:rsid w:val="004062B4"/>
    <w:rsid w:val="00410357"/>
    <w:rsid w:val="004118DC"/>
    <w:rsid w:val="00455B2B"/>
    <w:rsid w:val="00464757"/>
    <w:rsid w:val="00467C61"/>
    <w:rsid w:val="0047652A"/>
    <w:rsid w:val="004C07D0"/>
    <w:rsid w:val="004E03BA"/>
    <w:rsid w:val="004E5F1A"/>
    <w:rsid w:val="004E7B56"/>
    <w:rsid w:val="005633A0"/>
    <w:rsid w:val="00581714"/>
    <w:rsid w:val="00587A07"/>
    <w:rsid w:val="0059420D"/>
    <w:rsid w:val="005D55E6"/>
    <w:rsid w:val="005D6C8C"/>
    <w:rsid w:val="005F4E30"/>
    <w:rsid w:val="006666E3"/>
    <w:rsid w:val="006943BC"/>
    <w:rsid w:val="006A561B"/>
    <w:rsid w:val="006A7058"/>
    <w:rsid w:val="006C166B"/>
    <w:rsid w:val="006E17CE"/>
    <w:rsid w:val="006F6061"/>
    <w:rsid w:val="00721ABA"/>
    <w:rsid w:val="00782B68"/>
    <w:rsid w:val="007A0CF9"/>
    <w:rsid w:val="007A44F7"/>
    <w:rsid w:val="007C055F"/>
    <w:rsid w:val="008222A1"/>
    <w:rsid w:val="00825F9B"/>
    <w:rsid w:val="008403C5"/>
    <w:rsid w:val="008409D0"/>
    <w:rsid w:val="008664CD"/>
    <w:rsid w:val="00874ECD"/>
    <w:rsid w:val="008E2609"/>
    <w:rsid w:val="008F7824"/>
    <w:rsid w:val="009064E6"/>
    <w:rsid w:val="00974C10"/>
    <w:rsid w:val="009A112B"/>
    <w:rsid w:val="009A251D"/>
    <w:rsid w:val="009E54AD"/>
    <w:rsid w:val="00A34F0D"/>
    <w:rsid w:val="00A435ED"/>
    <w:rsid w:val="00A574DE"/>
    <w:rsid w:val="00A71B19"/>
    <w:rsid w:val="00A86194"/>
    <w:rsid w:val="00A936A5"/>
    <w:rsid w:val="00A972B1"/>
    <w:rsid w:val="00A97F36"/>
    <w:rsid w:val="00AD2E14"/>
    <w:rsid w:val="00AE26F3"/>
    <w:rsid w:val="00AF4D9D"/>
    <w:rsid w:val="00B1057B"/>
    <w:rsid w:val="00B1099F"/>
    <w:rsid w:val="00B13A4B"/>
    <w:rsid w:val="00B222E5"/>
    <w:rsid w:val="00B228AB"/>
    <w:rsid w:val="00BA7CF5"/>
    <w:rsid w:val="00BE1409"/>
    <w:rsid w:val="00BF306B"/>
    <w:rsid w:val="00BF7376"/>
    <w:rsid w:val="00C32592"/>
    <w:rsid w:val="00C530F1"/>
    <w:rsid w:val="00C64875"/>
    <w:rsid w:val="00C67230"/>
    <w:rsid w:val="00C86C90"/>
    <w:rsid w:val="00CA4D23"/>
    <w:rsid w:val="00CD37F5"/>
    <w:rsid w:val="00D06FD3"/>
    <w:rsid w:val="00D07355"/>
    <w:rsid w:val="00D105F1"/>
    <w:rsid w:val="00D243B6"/>
    <w:rsid w:val="00D30E67"/>
    <w:rsid w:val="00D32DFE"/>
    <w:rsid w:val="00D61978"/>
    <w:rsid w:val="00D61E5A"/>
    <w:rsid w:val="00D80563"/>
    <w:rsid w:val="00D814D1"/>
    <w:rsid w:val="00D81780"/>
    <w:rsid w:val="00D8465E"/>
    <w:rsid w:val="00D95A7C"/>
    <w:rsid w:val="00DA69E6"/>
    <w:rsid w:val="00DB1124"/>
    <w:rsid w:val="00DE2E3C"/>
    <w:rsid w:val="00E220C4"/>
    <w:rsid w:val="00E402D8"/>
    <w:rsid w:val="00E50203"/>
    <w:rsid w:val="00E60EA0"/>
    <w:rsid w:val="00E94B12"/>
    <w:rsid w:val="00EB0F92"/>
    <w:rsid w:val="00EC08E5"/>
    <w:rsid w:val="00ED48C7"/>
    <w:rsid w:val="00ED79A5"/>
    <w:rsid w:val="00EF2642"/>
    <w:rsid w:val="00EF346A"/>
    <w:rsid w:val="00F27D38"/>
    <w:rsid w:val="00F54301"/>
    <w:rsid w:val="00F902D5"/>
    <w:rsid w:val="00FB09F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CC20E1"/>
  <w15:chartTrackingRefBased/>
  <w15:docId w15:val="{595738A9-94B8-4017-8C6E-383A070338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22A1"/>
    <w:pPr>
      <w:spacing w:before="200" w:after="200" w:line="360" w:lineRule="auto"/>
      <w:contextualSpacing/>
      <w:jc w:val="both"/>
    </w:pPr>
    <w:rPr>
      <w:rFonts w:ascii="Arial" w:hAnsi="Arial"/>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4C07D0"/>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4C07D0"/>
  </w:style>
  <w:style w:type="paragraph" w:styleId="Rodap">
    <w:name w:val="footer"/>
    <w:basedOn w:val="Normal"/>
    <w:link w:val="RodapChar"/>
    <w:uiPriority w:val="99"/>
    <w:unhideWhenUsed/>
    <w:rsid w:val="004C07D0"/>
    <w:pPr>
      <w:tabs>
        <w:tab w:val="center" w:pos="4252"/>
        <w:tab w:val="right" w:pos="8504"/>
      </w:tabs>
      <w:spacing w:after="0" w:line="240" w:lineRule="auto"/>
    </w:pPr>
  </w:style>
  <w:style w:type="character" w:customStyle="1" w:styleId="RodapChar">
    <w:name w:val="Rodapé Char"/>
    <w:basedOn w:val="Fontepargpadro"/>
    <w:link w:val="Rodap"/>
    <w:uiPriority w:val="99"/>
    <w:rsid w:val="004C07D0"/>
  </w:style>
  <w:style w:type="paragraph" w:styleId="PargrafodaLista">
    <w:name w:val="List Paragraph"/>
    <w:aliases w:val="Parágrafo da Lista11,Subtítulo Projeto Básico,Parágrafo da Lista111,List Paragraph1"/>
    <w:basedOn w:val="Normal"/>
    <w:link w:val="PargrafodaListaChar"/>
    <w:uiPriority w:val="1"/>
    <w:qFormat/>
    <w:rsid w:val="00CA4D23"/>
    <w:pPr>
      <w:ind w:left="720"/>
    </w:pPr>
  </w:style>
  <w:style w:type="paragraph" w:customStyle="1" w:styleId="Default">
    <w:name w:val="Default"/>
    <w:rsid w:val="00CA4D23"/>
    <w:pPr>
      <w:autoSpaceDE w:val="0"/>
      <w:autoSpaceDN w:val="0"/>
      <w:adjustRightInd w:val="0"/>
      <w:spacing w:after="0" w:line="240" w:lineRule="auto"/>
    </w:pPr>
    <w:rPr>
      <w:rFonts w:ascii="Calibri" w:hAnsi="Calibri" w:cs="Calibri"/>
      <w:color w:val="000000"/>
      <w:kern w:val="0"/>
      <w:sz w:val="24"/>
      <w:szCs w:val="24"/>
    </w:rPr>
  </w:style>
  <w:style w:type="character" w:customStyle="1" w:styleId="PargrafodaListaChar">
    <w:name w:val="Parágrafo da Lista Char"/>
    <w:aliases w:val="Parágrafo da Lista11 Char,Subtítulo Projeto Básico Char,Parágrafo da Lista111 Char,List Paragraph1 Char"/>
    <w:link w:val="PargrafodaLista"/>
    <w:uiPriority w:val="1"/>
    <w:locked/>
    <w:rsid w:val="00CA4D23"/>
  </w:style>
  <w:style w:type="paragraph" w:customStyle="1" w:styleId="Nvel2-Red">
    <w:name w:val="Nível 2 -Red"/>
    <w:basedOn w:val="Normal"/>
    <w:link w:val="Nvel2-RedChar"/>
    <w:autoRedefine/>
    <w:qFormat/>
    <w:rsid w:val="00CA4D23"/>
    <w:pPr>
      <w:spacing w:after="0"/>
      <w:ind w:firstLine="851"/>
    </w:pPr>
    <w:rPr>
      <w:rFonts w:ascii="Times New Roman" w:eastAsia="Arial" w:hAnsi="Times New Roman" w:cs="Times New Roman"/>
      <w:iCs/>
      <w:kern w:val="0"/>
      <w:lang w:eastAsia="pt-BR"/>
      <w14:ligatures w14:val="none"/>
    </w:rPr>
  </w:style>
  <w:style w:type="character" w:customStyle="1" w:styleId="Nvel2-RedChar">
    <w:name w:val="Nível 2 -Red Char"/>
    <w:basedOn w:val="Fontepargpadro"/>
    <w:link w:val="Nvel2-Red"/>
    <w:rsid w:val="00CA4D23"/>
    <w:rPr>
      <w:rFonts w:ascii="Times New Roman" w:eastAsia="Arial" w:hAnsi="Times New Roman" w:cs="Times New Roman"/>
      <w:iCs/>
      <w:kern w:val="0"/>
      <w:lang w:eastAsia="pt-BR"/>
      <w14:ligatures w14:val="none"/>
    </w:rPr>
  </w:style>
  <w:style w:type="character" w:styleId="Hyperlink">
    <w:name w:val="Hyperlink"/>
    <w:basedOn w:val="Fontepargpadro"/>
    <w:uiPriority w:val="99"/>
    <w:unhideWhenUsed/>
    <w:rsid w:val="008E2609"/>
    <w:rPr>
      <w:color w:val="0563C1" w:themeColor="hyperlink"/>
      <w:u w:val="single"/>
    </w:rPr>
  </w:style>
  <w:style w:type="character" w:styleId="MenoPendente">
    <w:name w:val="Unresolved Mention"/>
    <w:basedOn w:val="Fontepargpadro"/>
    <w:uiPriority w:val="99"/>
    <w:semiHidden/>
    <w:unhideWhenUsed/>
    <w:rsid w:val="008E2609"/>
    <w:rPr>
      <w:color w:val="605E5C"/>
      <w:shd w:val="clear" w:color="auto" w:fill="E1DFDD"/>
    </w:rPr>
  </w:style>
  <w:style w:type="table" w:styleId="Tabelacomgrade">
    <w:name w:val="Table Grid"/>
    <w:basedOn w:val="Tabelanormal"/>
    <w:rsid w:val="00B1099F"/>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1451189">
      <w:bodyDiv w:val="1"/>
      <w:marLeft w:val="0"/>
      <w:marRight w:val="0"/>
      <w:marTop w:val="0"/>
      <w:marBottom w:val="0"/>
      <w:divBdr>
        <w:top w:val="none" w:sz="0" w:space="0" w:color="auto"/>
        <w:left w:val="none" w:sz="0" w:space="0" w:color="auto"/>
        <w:bottom w:val="none" w:sz="0" w:space="0" w:color="auto"/>
        <w:right w:val="none" w:sz="0" w:space="0" w:color="auto"/>
      </w:divBdr>
    </w:div>
    <w:div w:id="265120706">
      <w:bodyDiv w:val="1"/>
      <w:marLeft w:val="0"/>
      <w:marRight w:val="0"/>
      <w:marTop w:val="0"/>
      <w:marBottom w:val="0"/>
      <w:divBdr>
        <w:top w:val="none" w:sz="0" w:space="0" w:color="auto"/>
        <w:left w:val="none" w:sz="0" w:space="0" w:color="auto"/>
        <w:bottom w:val="none" w:sz="0" w:space="0" w:color="auto"/>
        <w:right w:val="none" w:sz="0" w:space="0" w:color="auto"/>
      </w:divBdr>
    </w:div>
    <w:div w:id="308362568">
      <w:bodyDiv w:val="1"/>
      <w:marLeft w:val="0"/>
      <w:marRight w:val="0"/>
      <w:marTop w:val="0"/>
      <w:marBottom w:val="0"/>
      <w:divBdr>
        <w:top w:val="none" w:sz="0" w:space="0" w:color="auto"/>
        <w:left w:val="none" w:sz="0" w:space="0" w:color="auto"/>
        <w:bottom w:val="none" w:sz="0" w:space="0" w:color="auto"/>
        <w:right w:val="none" w:sz="0" w:space="0" w:color="auto"/>
      </w:divBdr>
    </w:div>
    <w:div w:id="614867148">
      <w:bodyDiv w:val="1"/>
      <w:marLeft w:val="0"/>
      <w:marRight w:val="0"/>
      <w:marTop w:val="0"/>
      <w:marBottom w:val="0"/>
      <w:divBdr>
        <w:top w:val="none" w:sz="0" w:space="0" w:color="auto"/>
        <w:left w:val="none" w:sz="0" w:space="0" w:color="auto"/>
        <w:bottom w:val="none" w:sz="0" w:space="0" w:color="auto"/>
        <w:right w:val="none" w:sz="0" w:space="0" w:color="auto"/>
      </w:divBdr>
    </w:div>
    <w:div w:id="686368425">
      <w:bodyDiv w:val="1"/>
      <w:marLeft w:val="0"/>
      <w:marRight w:val="0"/>
      <w:marTop w:val="0"/>
      <w:marBottom w:val="0"/>
      <w:divBdr>
        <w:top w:val="none" w:sz="0" w:space="0" w:color="auto"/>
        <w:left w:val="none" w:sz="0" w:space="0" w:color="auto"/>
        <w:bottom w:val="none" w:sz="0" w:space="0" w:color="auto"/>
        <w:right w:val="none" w:sz="0" w:space="0" w:color="auto"/>
      </w:divBdr>
    </w:div>
    <w:div w:id="712775882">
      <w:bodyDiv w:val="1"/>
      <w:marLeft w:val="0"/>
      <w:marRight w:val="0"/>
      <w:marTop w:val="0"/>
      <w:marBottom w:val="0"/>
      <w:divBdr>
        <w:top w:val="none" w:sz="0" w:space="0" w:color="auto"/>
        <w:left w:val="none" w:sz="0" w:space="0" w:color="auto"/>
        <w:bottom w:val="none" w:sz="0" w:space="0" w:color="auto"/>
        <w:right w:val="none" w:sz="0" w:space="0" w:color="auto"/>
      </w:divBdr>
    </w:div>
    <w:div w:id="796683587">
      <w:bodyDiv w:val="1"/>
      <w:marLeft w:val="0"/>
      <w:marRight w:val="0"/>
      <w:marTop w:val="0"/>
      <w:marBottom w:val="0"/>
      <w:divBdr>
        <w:top w:val="none" w:sz="0" w:space="0" w:color="auto"/>
        <w:left w:val="none" w:sz="0" w:space="0" w:color="auto"/>
        <w:bottom w:val="none" w:sz="0" w:space="0" w:color="auto"/>
        <w:right w:val="none" w:sz="0" w:space="0" w:color="auto"/>
      </w:divBdr>
    </w:div>
    <w:div w:id="1132594399">
      <w:bodyDiv w:val="1"/>
      <w:marLeft w:val="0"/>
      <w:marRight w:val="0"/>
      <w:marTop w:val="0"/>
      <w:marBottom w:val="0"/>
      <w:divBdr>
        <w:top w:val="none" w:sz="0" w:space="0" w:color="auto"/>
        <w:left w:val="none" w:sz="0" w:space="0" w:color="auto"/>
        <w:bottom w:val="none" w:sz="0" w:space="0" w:color="auto"/>
        <w:right w:val="none" w:sz="0" w:space="0" w:color="auto"/>
      </w:divBdr>
    </w:div>
    <w:div w:id="1166748437">
      <w:bodyDiv w:val="1"/>
      <w:marLeft w:val="0"/>
      <w:marRight w:val="0"/>
      <w:marTop w:val="0"/>
      <w:marBottom w:val="0"/>
      <w:divBdr>
        <w:top w:val="none" w:sz="0" w:space="0" w:color="auto"/>
        <w:left w:val="none" w:sz="0" w:space="0" w:color="auto"/>
        <w:bottom w:val="none" w:sz="0" w:space="0" w:color="auto"/>
        <w:right w:val="none" w:sz="0" w:space="0" w:color="auto"/>
      </w:divBdr>
    </w:div>
    <w:div w:id="13965817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gov.br/empresas-e-negocios/pt-br/empreendedor"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DE6BE2-9086-4FA1-9F5A-1FEF01964F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337</TotalTime>
  <Pages>24</Pages>
  <Words>9083</Words>
  <Characters>49049</Characters>
  <Application>Microsoft Office Word</Application>
  <DocSecurity>0</DocSecurity>
  <Lines>408</Lines>
  <Paragraphs>116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58016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José Ricardo</dc:creator>
  <cp:keywords/>
  <dc:description/>
  <cp:lastModifiedBy>User</cp:lastModifiedBy>
  <cp:revision>8</cp:revision>
  <cp:lastPrinted>2026-02-27T17:13:00Z</cp:lastPrinted>
  <dcterms:created xsi:type="dcterms:W3CDTF">2026-02-26T18:02:00Z</dcterms:created>
  <dcterms:modified xsi:type="dcterms:W3CDTF">2026-03-16T12:15:00Z</dcterms:modified>
</cp:coreProperties>
</file>